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862" w:rsidRPr="00C234FB" w:rsidRDefault="00630BD4" w:rsidP="00415398">
      <w:pPr>
        <w:jc w:val="center"/>
        <w:rPr>
          <w:rFonts w:eastAsiaTheme="minorHAnsi" w:cstheme="minorBidi"/>
          <w:szCs w:val="22"/>
        </w:rPr>
      </w:pPr>
      <w:bookmarkStart w:id="0" w:name="LW_BM_COVERPAGE"/>
      <w:r>
        <w:rPr>
          <w:noProof/>
        </w:rPr>
        <w:drawing>
          <wp:inline distT="0" distB="0" distL="0" distR="0" wp14:anchorId="4E9B9A59" wp14:editId="427D3940">
            <wp:extent cx="1799590" cy="1226185"/>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1799590" cy="1226185"/>
                    </a:xfrm>
                    <a:prstGeom prst="rect">
                      <a:avLst/>
                    </a:prstGeom>
                  </pic:spPr>
                </pic:pic>
              </a:graphicData>
            </a:graphic>
          </wp:inline>
        </w:drawing>
      </w:r>
    </w:p>
    <w:p w:rsidR="009B1862" w:rsidRPr="00F23F46" w:rsidRDefault="009B1862" w:rsidP="00415398">
      <w:pPr>
        <w:tabs>
          <w:tab w:val="left" w:pos="1480"/>
        </w:tabs>
        <w:jc w:val="right"/>
        <w:rPr>
          <w:rFonts w:ascii="Verdana" w:eastAsiaTheme="minorHAnsi" w:hAnsi="Verdana" w:cstheme="minorBidi"/>
        </w:rPr>
      </w:pPr>
      <w:r w:rsidRPr="00C234FB">
        <w:rPr>
          <w:rFonts w:eastAsiaTheme="minorHAnsi" w:cstheme="minorBidi"/>
          <w:sz w:val="20"/>
          <w:szCs w:val="20"/>
        </w:rPr>
        <w:fldChar w:fldCharType="begin">
          <w:ffData>
            <w:name w:val="Text1"/>
            <w:enabled/>
            <w:calcOnExit w:val="0"/>
            <w:textInput>
              <w:maxLength w:val="30"/>
            </w:textInput>
          </w:ffData>
        </w:fldChar>
      </w:r>
      <w:r w:rsidRPr="00C234FB">
        <w:rPr>
          <w:rFonts w:eastAsiaTheme="minorHAnsi" w:cstheme="minorBidi"/>
          <w:sz w:val="20"/>
          <w:szCs w:val="20"/>
        </w:rPr>
        <w:instrText xml:space="preserve"> FORMTEXT </w:instrText>
      </w:r>
      <w:r w:rsidRPr="00C234FB">
        <w:rPr>
          <w:rFonts w:eastAsiaTheme="minorHAnsi" w:cstheme="minorBidi"/>
          <w:sz w:val="20"/>
          <w:szCs w:val="20"/>
        </w:rPr>
      </w:r>
      <w:r w:rsidRPr="00C234FB">
        <w:rPr>
          <w:rFonts w:eastAsiaTheme="minorHAnsi" w:cstheme="minorBidi"/>
          <w:sz w:val="20"/>
          <w:szCs w:val="20"/>
        </w:rPr>
        <w:fldChar w:fldCharType="separate"/>
      </w:r>
      <w:r w:rsidRPr="00C234FB">
        <w:rPr>
          <w:rFonts w:eastAsiaTheme="minorHAnsi" w:cstheme="minorBidi"/>
          <w:noProof/>
          <w:sz w:val="20"/>
          <w:szCs w:val="20"/>
        </w:rPr>
        <w:t> </w:t>
      </w:r>
      <w:r w:rsidRPr="00C234FB">
        <w:rPr>
          <w:rFonts w:eastAsiaTheme="minorHAnsi" w:cstheme="minorBidi"/>
          <w:noProof/>
          <w:sz w:val="20"/>
          <w:szCs w:val="20"/>
        </w:rPr>
        <w:t> </w:t>
      </w:r>
      <w:r w:rsidRPr="00C234FB">
        <w:rPr>
          <w:rFonts w:eastAsiaTheme="minorHAnsi" w:cstheme="minorBidi"/>
          <w:noProof/>
          <w:sz w:val="20"/>
          <w:szCs w:val="20"/>
        </w:rPr>
        <w:t> </w:t>
      </w:r>
      <w:r w:rsidRPr="00C234FB">
        <w:rPr>
          <w:rFonts w:eastAsiaTheme="minorHAnsi" w:cstheme="minorBidi"/>
          <w:noProof/>
          <w:sz w:val="20"/>
          <w:szCs w:val="20"/>
        </w:rPr>
        <w:t> </w:t>
      </w:r>
      <w:r w:rsidRPr="00C234FB">
        <w:rPr>
          <w:rFonts w:eastAsiaTheme="minorHAnsi" w:cstheme="minorBidi"/>
          <w:noProof/>
          <w:sz w:val="20"/>
          <w:szCs w:val="20"/>
        </w:rPr>
        <w:t> </w:t>
      </w:r>
      <w:r w:rsidRPr="00C234FB">
        <w:rPr>
          <w:rFonts w:eastAsiaTheme="minorHAnsi" w:cstheme="minorBidi"/>
          <w:sz w:val="20"/>
          <w:szCs w:val="20"/>
        </w:rPr>
        <w:fldChar w:fldCharType="end"/>
      </w:r>
      <w:r w:rsidRPr="00C234FB">
        <w:rPr>
          <w:rFonts w:eastAsiaTheme="minorHAnsi" w:cstheme="minorBidi"/>
          <w:sz w:val="20"/>
          <w:szCs w:val="20"/>
        </w:rPr>
        <w:br/>
      </w:r>
      <w:r w:rsidRPr="00F23F46">
        <w:rPr>
          <w:rFonts w:ascii="Verdana" w:eastAsiaTheme="minorHAnsi" w:hAnsi="Verdana" w:cstheme="minorBidi"/>
          <w:sz w:val="20"/>
          <w:szCs w:val="20"/>
        </w:rPr>
        <w:t>EIOPA-BoS-</w:t>
      </w:r>
      <w:sdt>
        <w:sdtPr>
          <w:rPr>
            <w:rFonts w:ascii="Verdana" w:eastAsiaTheme="minorHAnsi" w:hAnsi="Verdana" w:cstheme="minorBidi"/>
            <w:sz w:val="20"/>
            <w:szCs w:val="20"/>
          </w:rPr>
          <w:id w:val="-1605414361"/>
        </w:sdtPr>
        <w:sdtEndPr/>
        <w:sdtContent>
          <w:r w:rsidRPr="00F23F46">
            <w:rPr>
              <w:rFonts w:ascii="Verdana" w:eastAsiaTheme="minorHAnsi" w:hAnsi="Verdana" w:cstheme="minorBidi"/>
              <w:sz w:val="20"/>
              <w:szCs w:val="20"/>
            </w:rPr>
            <w:t>1</w:t>
          </w:r>
          <w:r>
            <w:rPr>
              <w:rFonts w:ascii="Verdana" w:eastAsiaTheme="minorHAnsi" w:hAnsi="Verdana" w:cstheme="minorBidi"/>
              <w:sz w:val="20"/>
              <w:szCs w:val="20"/>
            </w:rPr>
            <w:t>7</w:t>
          </w:r>
          <w:r w:rsidRPr="00F23F46">
            <w:rPr>
              <w:rFonts w:ascii="Verdana" w:eastAsiaTheme="minorHAnsi" w:hAnsi="Verdana" w:cstheme="minorBidi"/>
              <w:sz w:val="20"/>
              <w:szCs w:val="20"/>
            </w:rPr>
            <w:t>/</w:t>
          </w:r>
          <w:r w:rsidR="00B24200">
            <w:rPr>
              <w:rFonts w:ascii="Verdana" w:eastAsiaTheme="minorHAnsi" w:hAnsi="Verdana" w:cstheme="minorBidi"/>
              <w:sz w:val="20"/>
              <w:szCs w:val="20"/>
            </w:rPr>
            <w:t>196</w:t>
          </w:r>
        </w:sdtContent>
      </w:sdt>
      <w:r w:rsidRPr="00F23F46">
        <w:rPr>
          <w:rFonts w:ascii="Verdana" w:eastAsiaTheme="minorHAnsi" w:hAnsi="Verdana" w:cstheme="minorBidi"/>
          <w:sz w:val="20"/>
          <w:szCs w:val="20"/>
        </w:rPr>
        <w:br/>
      </w:r>
      <w:sdt>
        <w:sdtPr>
          <w:rPr>
            <w:rFonts w:ascii="Verdana" w:eastAsiaTheme="minorHAnsi" w:hAnsi="Verdana" w:cstheme="minorBidi"/>
            <w:sz w:val="20"/>
            <w:szCs w:val="20"/>
          </w:rPr>
          <w:id w:val="-113525082"/>
        </w:sdtPr>
        <w:sdtEndPr/>
        <w:sdtContent>
          <w:sdt>
            <w:sdtPr>
              <w:rPr>
                <w:rFonts w:ascii="Verdana" w:eastAsiaTheme="minorHAnsi" w:hAnsi="Verdana" w:cstheme="minorBidi"/>
                <w:sz w:val="20"/>
                <w:szCs w:val="20"/>
              </w:rPr>
              <w:id w:val="276770184"/>
            </w:sdtPr>
            <w:sdtEndPr/>
            <w:sdtContent>
              <w:r w:rsidR="00B24200">
                <w:rPr>
                  <w:rFonts w:ascii="Verdana" w:eastAsiaTheme="minorHAnsi" w:hAnsi="Verdana" w:cstheme="minorBidi"/>
                  <w:sz w:val="20"/>
                  <w:szCs w:val="20"/>
                </w:rPr>
                <w:t>18</w:t>
              </w:r>
              <w:r w:rsidRPr="00F23F46">
                <w:rPr>
                  <w:rFonts w:ascii="Verdana" w:eastAsiaTheme="minorHAnsi" w:hAnsi="Verdana" w:cstheme="minorBidi"/>
                  <w:sz w:val="20"/>
                  <w:szCs w:val="20"/>
                </w:rPr>
                <w:t xml:space="preserve"> </w:t>
              </w:r>
              <w:r w:rsidR="00B24200">
                <w:rPr>
                  <w:rFonts w:ascii="Verdana" w:eastAsiaTheme="minorHAnsi" w:hAnsi="Verdana" w:cstheme="minorBidi"/>
                  <w:sz w:val="20"/>
                  <w:szCs w:val="20"/>
                </w:rPr>
                <w:t>June</w:t>
              </w:r>
              <w:r w:rsidR="00893300" w:rsidRPr="00F23F46">
                <w:rPr>
                  <w:rFonts w:ascii="Verdana" w:eastAsiaTheme="minorHAnsi" w:hAnsi="Verdana" w:cstheme="minorBidi"/>
                  <w:sz w:val="20"/>
                  <w:szCs w:val="20"/>
                </w:rPr>
                <w:t xml:space="preserve"> </w:t>
              </w:r>
              <w:r w:rsidRPr="00F23F46">
                <w:rPr>
                  <w:rFonts w:ascii="Verdana" w:eastAsiaTheme="minorHAnsi" w:hAnsi="Verdana" w:cstheme="minorBidi"/>
                  <w:sz w:val="20"/>
                  <w:szCs w:val="20"/>
                </w:rPr>
                <w:t>201</w:t>
              </w:r>
              <w:r>
                <w:rPr>
                  <w:rFonts w:ascii="Verdana" w:eastAsiaTheme="minorHAnsi" w:hAnsi="Verdana" w:cstheme="minorBidi"/>
                  <w:sz w:val="20"/>
                  <w:szCs w:val="20"/>
                </w:rPr>
                <w:t>7</w:t>
              </w:r>
            </w:sdtContent>
          </w:sdt>
        </w:sdtContent>
      </w:sdt>
    </w:p>
    <w:p w:rsidR="009B1862" w:rsidRPr="00C234FB" w:rsidRDefault="009B1862" w:rsidP="00415398">
      <w:pPr>
        <w:jc w:val="center"/>
        <w:rPr>
          <w:rFonts w:eastAsiaTheme="minorHAnsi" w:cstheme="minorBidi"/>
        </w:rPr>
      </w:pPr>
    </w:p>
    <w:p w:rsidR="009B1862" w:rsidRPr="00C234FB" w:rsidRDefault="009B1862" w:rsidP="00415398">
      <w:pPr>
        <w:jc w:val="center"/>
        <w:rPr>
          <w:rFonts w:eastAsiaTheme="minorHAnsi" w:cstheme="minorBidi"/>
          <w:color w:val="0000FF" w:themeColor="hyperlink"/>
          <w:szCs w:val="22"/>
        </w:rPr>
      </w:pPr>
    </w:p>
    <w:p w:rsidR="009B1862" w:rsidRPr="00C234FB" w:rsidRDefault="009B1862" w:rsidP="00415398">
      <w:pPr>
        <w:jc w:val="center"/>
        <w:rPr>
          <w:rFonts w:eastAsiaTheme="minorHAnsi" w:cstheme="minorBidi"/>
        </w:rPr>
      </w:pPr>
    </w:p>
    <w:p w:rsidR="009B1862" w:rsidRPr="006319DE" w:rsidRDefault="009B1862" w:rsidP="00415398">
      <w:pPr>
        <w:shd w:val="clear" w:color="auto" w:fill="D0E7F6"/>
        <w:spacing w:before="240"/>
        <w:jc w:val="center"/>
        <w:rPr>
          <w:rFonts w:eastAsiaTheme="majorEastAsia" w:cstheme="majorBidi"/>
          <w:b/>
          <w:spacing w:val="5"/>
          <w:kern w:val="28"/>
          <w:sz w:val="40"/>
          <w:szCs w:val="40"/>
        </w:rPr>
      </w:pPr>
    </w:p>
    <w:p w:rsidR="009B1862" w:rsidRPr="00FB50AB" w:rsidRDefault="008412FC" w:rsidP="009B1862">
      <w:pPr>
        <w:shd w:val="clear" w:color="auto" w:fill="D0E7F6"/>
        <w:spacing w:before="240" w:line="360" w:lineRule="auto"/>
        <w:jc w:val="center"/>
        <w:rPr>
          <w:rFonts w:eastAsia="MS Mincho"/>
          <w:b/>
          <w:bCs/>
          <w:sz w:val="40"/>
          <w:szCs w:val="40"/>
          <w:lang w:eastAsia="de-DE"/>
          <w14:shadow w14:blurRad="50800" w14:dist="38100" w14:dir="0" w14:sx="100000" w14:sy="100000" w14:kx="0" w14:ky="0" w14:algn="l">
            <w14:srgbClr w14:val="000000">
              <w14:alpha w14:val="60000"/>
            </w14:srgbClr>
          </w14:shadow>
        </w:rPr>
      </w:pPr>
      <w:r>
        <w:rPr>
          <w:rFonts w:ascii="Verdana" w:eastAsia="MS Mincho" w:hAnsi="Verdana"/>
          <w:b/>
          <w:bCs/>
          <w:sz w:val="40"/>
          <w:szCs w:val="40"/>
          <w:lang w:eastAsia="de-DE"/>
          <w14:shadow w14:blurRad="50800" w14:dist="38100" w14:dir="0" w14:sx="100000" w14:sy="100000" w14:kx="0" w14:ky="0" w14:algn="l">
            <w14:srgbClr w14:val="000000">
              <w14:alpha w14:val="60000"/>
            </w14:srgbClr>
          </w14:shadow>
        </w:rPr>
        <w:t>Draft</w:t>
      </w:r>
      <w:r w:rsidR="009B1862" w:rsidRPr="00F23F46">
        <w:rPr>
          <w:rFonts w:ascii="Verdana" w:eastAsia="MS Mincho" w:hAnsi="Verdana"/>
          <w:b/>
          <w:bCs/>
          <w:sz w:val="40"/>
          <w:szCs w:val="40"/>
          <w:lang w:eastAsia="de-DE"/>
          <w14:shadow w14:blurRad="50800" w14:dist="38100" w14:dir="0" w14:sx="100000" w14:sy="100000" w14:kx="0" w14:ky="0" w14:algn="l">
            <w14:srgbClr w14:val="000000">
              <w14:alpha w14:val="60000"/>
            </w14:srgbClr>
          </w14:shadow>
        </w:rPr>
        <w:t xml:space="preserve"> </w:t>
      </w:r>
      <w:r w:rsidR="00D014B9">
        <w:rPr>
          <w:rFonts w:ascii="Verdana" w:eastAsia="MS Mincho" w:hAnsi="Verdana"/>
          <w:b/>
          <w:bCs/>
          <w:sz w:val="40"/>
          <w:szCs w:val="40"/>
          <w:lang w:eastAsia="de-DE"/>
          <w14:shadow w14:blurRad="50800" w14:dist="38100" w14:dir="0" w14:sx="100000" w14:sy="100000" w14:kx="0" w14:ky="0" w14:algn="l">
            <w14:srgbClr w14:val="000000">
              <w14:alpha w14:val="60000"/>
            </w14:srgbClr>
          </w14:shadow>
        </w:rPr>
        <w:t xml:space="preserve">amendment </w:t>
      </w:r>
      <w:r w:rsidR="009B1862" w:rsidRPr="00F23F46">
        <w:rPr>
          <w:rFonts w:ascii="Verdana" w:eastAsia="MS Mincho" w:hAnsi="Verdana"/>
          <w:b/>
          <w:bCs/>
          <w:sz w:val="40"/>
          <w:szCs w:val="40"/>
          <w:lang w:eastAsia="de-DE"/>
          <w14:shadow w14:blurRad="50800" w14:dist="38100" w14:dir="0" w14:sx="100000" w14:sy="100000" w14:kx="0" w14:ky="0" w14:algn="l">
            <w14:srgbClr w14:val="000000">
              <w14:alpha w14:val="60000"/>
            </w14:srgbClr>
          </w14:shadow>
        </w:rPr>
        <w:t xml:space="preserve">to </w:t>
      </w:r>
      <w:r w:rsidR="009B1862" w:rsidRPr="009B1862">
        <w:rPr>
          <w:rFonts w:ascii="Verdana" w:eastAsia="MS Mincho" w:hAnsi="Verdana"/>
          <w:b/>
          <w:bCs/>
          <w:sz w:val="40"/>
          <w:szCs w:val="40"/>
          <w:lang w:eastAsia="de-DE"/>
          <w14:shadow w14:blurRad="50800" w14:dist="38100" w14:dir="0" w14:sx="100000" w14:sy="100000" w14:kx="0" w14:ky="0" w14:algn="l">
            <w14:srgbClr w14:val="000000">
              <w14:alpha w14:val="60000"/>
            </w14:srgbClr>
          </w14:shadow>
        </w:rPr>
        <w:t>Commission Implementing Regulation (EU) 2015/2452 of 2 December 2015 laying down implementing technical standards with regard to the procedures, formats and templates of the solv</w:t>
      </w:r>
      <w:bookmarkStart w:id="1" w:name="_GoBack"/>
      <w:bookmarkEnd w:id="1"/>
      <w:r w:rsidR="009B1862" w:rsidRPr="009B1862">
        <w:rPr>
          <w:rFonts w:ascii="Verdana" w:eastAsia="MS Mincho" w:hAnsi="Verdana"/>
          <w:b/>
          <w:bCs/>
          <w:sz w:val="40"/>
          <w:szCs w:val="40"/>
          <w:lang w:eastAsia="de-DE"/>
          <w14:shadow w14:blurRad="50800" w14:dist="38100" w14:dir="0" w14:sx="100000" w14:sy="100000" w14:kx="0" w14:ky="0" w14:algn="l">
            <w14:srgbClr w14:val="000000">
              <w14:alpha w14:val="60000"/>
            </w14:srgbClr>
          </w14:shadow>
        </w:rPr>
        <w:t xml:space="preserve">ency and financial condition report </w:t>
      </w:r>
    </w:p>
    <w:p w:rsidR="009B1862" w:rsidRPr="00C234FB" w:rsidRDefault="009B1862" w:rsidP="00415398">
      <w:pPr>
        <w:spacing w:after="200" w:line="276" w:lineRule="auto"/>
        <w:rPr>
          <w:rFonts w:eastAsiaTheme="minorHAnsi" w:cs="Verdana,Bold"/>
          <w:b/>
          <w:bCs/>
          <w:sz w:val="40"/>
          <w:szCs w:val="40"/>
        </w:rPr>
      </w:pPr>
      <w:r w:rsidRPr="00C234FB">
        <w:rPr>
          <w:rFonts w:eastAsiaTheme="minorHAnsi" w:cstheme="minorBidi"/>
          <w:szCs w:val="22"/>
        </w:rPr>
        <w:br w:type="page"/>
      </w:r>
    </w:p>
    <w:p w:rsidR="00630BD4" w:rsidRDefault="00630BD4" w:rsidP="00630BD4">
      <w:pPr>
        <w:rPr>
          <w:lang w:eastAsia="en-US"/>
        </w:rPr>
      </w:pPr>
      <w:bookmarkStart w:id="2" w:name="_Toc393380240"/>
      <w:bookmarkEnd w:id="0"/>
    </w:p>
    <w:p w:rsidR="00630BD4" w:rsidRDefault="00630BD4" w:rsidP="00630BD4">
      <w:pPr>
        <w:rPr>
          <w:lang w:eastAsia="en-US"/>
        </w:rPr>
      </w:pPr>
      <w:r>
        <w:rPr>
          <w:noProof/>
        </w:rPr>
        <mc:AlternateContent>
          <mc:Choice Requires="wpc">
            <w:drawing>
              <wp:inline distT="0" distB="0" distL="0" distR="0" wp14:anchorId="590A1BD3" wp14:editId="73DA43BE">
                <wp:extent cx="6858993" cy="3616325"/>
                <wp:effectExtent l="0" t="0" r="18415" b="0"/>
                <wp:docPr id="67" name="Canvas 6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74"/>
                        <wps:cNvSpPr>
                          <a:spLocks noChangeArrowheads="1"/>
                        </wps:cNvSpPr>
                        <wps:spPr bwMode="auto">
                          <a:xfrm>
                            <a:off x="8800" y="5700"/>
                            <a:ext cx="42601"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rFonts w:ascii="Arial" w:hAnsi="Arial" w:cs="Arial"/>
                                  <w:color w:val="000000"/>
                                  <w:lang w:val="en-US"/>
                                </w:rPr>
                                <w:t xml:space="preserve"> </w:t>
                              </w:r>
                            </w:p>
                          </w:txbxContent>
                        </wps:txbx>
                        <wps:bodyPr rot="0" vert="horz" wrap="none" lIns="0" tIns="0" rIns="0" bIns="0" anchor="t" anchorCtr="0" upright="1">
                          <a:spAutoFit/>
                        </wps:bodyPr>
                      </wps:wsp>
                      <wpg:wgp>
                        <wpg:cNvPr id="2" name="Group 75"/>
                        <wpg:cNvGrpSpPr>
                          <a:grpSpLocks/>
                        </wpg:cNvGrpSpPr>
                        <wpg:grpSpPr bwMode="auto">
                          <a:xfrm>
                            <a:off x="8800" y="175201"/>
                            <a:ext cx="1009716" cy="673105"/>
                            <a:chOff x="14" y="276"/>
                            <a:chExt cx="1590" cy="1060"/>
                          </a:xfrm>
                        </wpg:grpSpPr>
                        <wps:wsp>
                          <wps:cNvPr id="4" name="Freeform 76"/>
                          <wps:cNvSpPr>
                            <a:spLocks/>
                          </wps:cNvSpPr>
                          <wps:spPr bwMode="auto">
                            <a:xfrm>
                              <a:off x="919" y="458"/>
                              <a:ext cx="117" cy="110"/>
                            </a:xfrm>
                            <a:custGeom>
                              <a:avLst/>
                              <a:gdLst>
                                <a:gd name="T0" fmla="*/ 0 w 117"/>
                                <a:gd name="T1" fmla="*/ 42 h 110"/>
                                <a:gd name="T2" fmla="*/ 45 w 117"/>
                                <a:gd name="T3" fmla="*/ 42 h 110"/>
                                <a:gd name="T4" fmla="*/ 59 w 117"/>
                                <a:gd name="T5" fmla="*/ 0 h 110"/>
                                <a:gd name="T6" fmla="*/ 72 w 117"/>
                                <a:gd name="T7" fmla="*/ 42 h 110"/>
                                <a:gd name="T8" fmla="*/ 117 w 117"/>
                                <a:gd name="T9" fmla="*/ 42 h 110"/>
                                <a:gd name="T10" fmla="*/ 81 w 117"/>
                                <a:gd name="T11" fmla="*/ 68 h 110"/>
                                <a:gd name="T12" fmla="*/ 95 w 117"/>
                                <a:gd name="T13" fmla="*/ 110 h 110"/>
                                <a:gd name="T14" fmla="*/ 59 w 117"/>
                                <a:gd name="T15" fmla="*/ 84 h 110"/>
                                <a:gd name="T16" fmla="*/ 23 w 117"/>
                                <a:gd name="T17" fmla="*/ 110 h 110"/>
                                <a:gd name="T18" fmla="*/ 36 w 117"/>
                                <a:gd name="T19" fmla="*/ 68 h 110"/>
                                <a:gd name="T20" fmla="*/ 0 w 117"/>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 h="110">
                                  <a:moveTo>
                                    <a:pt x="0" y="42"/>
                                  </a:moveTo>
                                  <a:lnTo>
                                    <a:pt x="45" y="42"/>
                                  </a:lnTo>
                                  <a:lnTo>
                                    <a:pt x="59" y="0"/>
                                  </a:lnTo>
                                  <a:lnTo>
                                    <a:pt x="72" y="42"/>
                                  </a:lnTo>
                                  <a:lnTo>
                                    <a:pt x="117" y="42"/>
                                  </a:lnTo>
                                  <a:lnTo>
                                    <a:pt x="81" y="68"/>
                                  </a:lnTo>
                                  <a:lnTo>
                                    <a:pt x="95" y="110"/>
                                  </a:lnTo>
                                  <a:lnTo>
                                    <a:pt x="59" y="84"/>
                                  </a:lnTo>
                                  <a:lnTo>
                                    <a:pt x="23"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7"/>
                          <wps:cNvSpPr>
                            <a:spLocks/>
                          </wps:cNvSpPr>
                          <wps:spPr bwMode="auto">
                            <a:xfrm>
                              <a:off x="1044" y="582"/>
                              <a:ext cx="116" cy="109"/>
                            </a:xfrm>
                            <a:custGeom>
                              <a:avLst/>
                              <a:gdLst>
                                <a:gd name="T0" fmla="*/ 0 w 116"/>
                                <a:gd name="T1" fmla="*/ 42 h 109"/>
                                <a:gd name="T2" fmla="*/ 45 w 116"/>
                                <a:gd name="T3" fmla="*/ 42 h 109"/>
                                <a:gd name="T4" fmla="*/ 58 w 116"/>
                                <a:gd name="T5" fmla="*/ 0 h 109"/>
                                <a:gd name="T6" fmla="*/ 73 w 116"/>
                                <a:gd name="T7" fmla="*/ 42 h 109"/>
                                <a:gd name="T8" fmla="*/ 116 w 116"/>
                                <a:gd name="T9" fmla="*/ 42 h 109"/>
                                <a:gd name="T10" fmla="*/ 81 w 116"/>
                                <a:gd name="T11" fmla="*/ 68 h 109"/>
                                <a:gd name="T12" fmla="*/ 94 w 116"/>
                                <a:gd name="T13" fmla="*/ 109 h 109"/>
                                <a:gd name="T14" fmla="*/ 58 w 116"/>
                                <a:gd name="T15" fmla="*/ 85 h 109"/>
                                <a:gd name="T16" fmla="*/ 22 w 116"/>
                                <a:gd name="T17" fmla="*/ 109 h 109"/>
                                <a:gd name="T18" fmla="*/ 37 w 116"/>
                                <a:gd name="T19" fmla="*/ 68 h 109"/>
                                <a:gd name="T20" fmla="*/ 0 w 116"/>
                                <a:gd name="T21" fmla="*/ 42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6" h="109">
                                  <a:moveTo>
                                    <a:pt x="0" y="42"/>
                                  </a:moveTo>
                                  <a:lnTo>
                                    <a:pt x="45" y="42"/>
                                  </a:lnTo>
                                  <a:lnTo>
                                    <a:pt x="58" y="0"/>
                                  </a:lnTo>
                                  <a:lnTo>
                                    <a:pt x="73" y="42"/>
                                  </a:lnTo>
                                  <a:lnTo>
                                    <a:pt x="116" y="42"/>
                                  </a:lnTo>
                                  <a:lnTo>
                                    <a:pt x="81" y="68"/>
                                  </a:lnTo>
                                  <a:lnTo>
                                    <a:pt x="94" y="109"/>
                                  </a:lnTo>
                                  <a:lnTo>
                                    <a:pt x="58" y="85"/>
                                  </a:lnTo>
                                  <a:lnTo>
                                    <a:pt x="22" y="109"/>
                                  </a:lnTo>
                                  <a:lnTo>
                                    <a:pt x="37"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8"/>
                          <wps:cNvSpPr>
                            <a:spLocks/>
                          </wps:cNvSpPr>
                          <wps:spPr bwMode="auto">
                            <a:xfrm>
                              <a:off x="1088" y="751"/>
                              <a:ext cx="115" cy="109"/>
                            </a:xfrm>
                            <a:custGeom>
                              <a:avLst/>
                              <a:gdLst>
                                <a:gd name="T0" fmla="*/ 0 w 115"/>
                                <a:gd name="T1" fmla="*/ 41 h 109"/>
                                <a:gd name="T2" fmla="*/ 44 w 115"/>
                                <a:gd name="T3" fmla="*/ 41 h 109"/>
                                <a:gd name="T4" fmla="*/ 59 w 115"/>
                                <a:gd name="T5" fmla="*/ 0 h 109"/>
                                <a:gd name="T6" fmla="*/ 72 w 115"/>
                                <a:gd name="T7" fmla="*/ 41 h 109"/>
                                <a:gd name="T8" fmla="*/ 115 w 115"/>
                                <a:gd name="T9" fmla="*/ 41 h 109"/>
                                <a:gd name="T10" fmla="*/ 81 w 115"/>
                                <a:gd name="T11" fmla="*/ 67 h 109"/>
                                <a:gd name="T12" fmla="*/ 94 w 115"/>
                                <a:gd name="T13" fmla="*/ 109 h 109"/>
                                <a:gd name="T14" fmla="*/ 59 w 115"/>
                                <a:gd name="T15" fmla="*/ 83 h 109"/>
                                <a:gd name="T16" fmla="*/ 23 w 115"/>
                                <a:gd name="T17" fmla="*/ 109 h 109"/>
                                <a:gd name="T18" fmla="*/ 36 w 115"/>
                                <a:gd name="T19" fmla="*/ 67 h 109"/>
                                <a:gd name="T20" fmla="*/ 0 w 115"/>
                                <a:gd name="T21" fmla="*/ 41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1"/>
                                  </a:moveTo>
                                  <a:lnTo>
                                    <a:pt x="44" y="41"/>
                                  </a:lnTo>
                                  <a:lnTo>
                                    <a:pt x="59" y="0"/>
                                  </a:lnTo>
                                  <a:lnTo>
                                    <a:pt x="72" y="41"/>
                                  </a:lnTo>
                                  <a:lnTo>
                                    <a:pt x="115" y="41"/>
                                  </a:lnTo>
                                  <a:lnTo>
                                    <a:pt x="81" y="67"/>
                                  </a:lnTo>
                                  <a:lnTo>
                                    <a:pt x="94" y="109"/>
                                  </a:lnTo>
                                  <a:lnTo>
                                    <a:pt x="59" y="83"/>
                                  </a:lnTo>
                                  <a:lnTo>
                                    <a:pt x="23" y="109"/>
                                  </a:lnTo>
                                  <a:lnTo>
                                    <a:pt x="36" y="67"/>
                                  </a:lnTo>
                                  <a:lnTo>
                                    <a:pt x="0" y="41"/>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9"/>
                          <wps:cNvSpPr>
                            <a:spLocks/>
                          </wps:cNvSpPr>
                          <wps:spPr bwMode="auto">
                            <a:xfrm>
                              <a:off x="1044" y="919"/>
                              <a:ext cx="116" cy="110"/>
                            </a:xfrm>
                            <a:custGeom>
                              <a:avLst/>
                              <a:gdLst>
                                <a:gd name="T0" fmla="*/ 0 w 116"/>
                                <a:gd name="T1" fmla="*/ 42 h 110"/>
                                <a:gd name="T2" fmla="*/ 45 w 116"/>
                                <a:gd name="T3" fmla="*/ 42 h 110"/>
                                <a:gd name="T4" fmla="*/ 58 w 116"/>
                                <a:gd name="T5" fmla="*/ 0 h 110"/>
                                <a:gd name="T6" fmla="*/ 73 w 116"/>
                                <a:gd name="T7" fmla="*/ 42 h 110"/>
                                <a:gd name="T8" fmla="*/ 116 w 116"/>
                                <a:gd name="T9" fmla="*/ 42 h 110"/>
                                <a:gd name="T10" fmla="*/ 81 w 116"/>
                                <a:gd name="T11" fmla="*/ 68 h 110"/>
                                <a:gd name="T12" fmla="*/ 94 w 116"/>
                                <a:gd name="T13" fmla="*/ 110 h 110"/>
                                <a:gd name="T14" fmla="*/ 58 w 116"/>
                                <a:gd name="T15" fmla="*/ 84 h 110"/>
                                <a:gd name="T16" fmla="*/ 22 w 116"/>
                                <a:gd name="T17" fmla="*/ 110 h 110"/>
                                <a:gd name="T18" fmla="*/ 37 w 116"/>
                                <a:gd name="T19" fmla="*/ 68 h 110"/>
                                <a:gd name="T20" fmla="*/ 0 w 116"/>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6" h="110">
                                  <a:moveTo>
                                    <a:pt x="0" y="42"/>
                                  </a:moveTo>
                                  <a:lnTo>
                                    <a:pt x="45" y="42"/>
                                  </a:lnTo>
                                  <a:lnTo>
                                    <a:pt x="58" y="0"/>
                                  </a:lnTo>
                                  <a:lnTo>
                                    <a:pt x="73" y="42"/>
                                  </a:lnTo>
                                  <a:lnTo>
                                    <a:pt x="116" y="42"/>
                                  </a:lnTo>
                                  <a:lnTo>
                                    <a:pt x="81" y="68"/>
                                  </a:lnTo>
                                  <a:lnTo>
                                    <a:pt x="94" y="110"/>
                                  </a:lnTo>
                                  <a:lnTo>
                                    <a:pt x="58" y="84"/>
                                  </a:lnTo>
                                  <a:lnTo>
                                    <a:pt x="22" y="110"/>
                                  </a:lnTo>
                                  <a:lnTo>
                                    <a:pt x="37"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80"/>
                          <wps:cNvSpPr>
                            <a:spLocks/>
                          </wps:cNvSpPr>
                          <wps:spPr bwMode="auto">
                            <a:xfrm>
                              <a:off x="919" y="1043"/>
                              <a:ext cx="117" cy="110"/>
                            </a:xfrm>
                            <a:custGeom>
                              <a:avLst/>
                              <a:gdLst>
                                <a:gd name="T0" fmla="*/ 0 w 117"/>
                                <a:gd name="T1" fmla="*/ 42 h 110"/>
                                <a:gd name="T2" fmla="*/ 45 w 117"/>
                                <a:gd name="T3" fmla="*/ 42 h 110"/>
                                <a:gd name="T4" fmla="*/ 59 w 117"/>
                                <a:gd name="T5" fmla="*/ 0 h 110"/>
                                <a:gd name="T6" fmla="*/ 72 w 117"/>
                                <a:gd name="T7" fmla="*/ 42 h 110"/>
                                <a:gd name="T8" fmla="*/ 117 w 117"/>
                                <a:gd name="T9" fmla="*/ 42 h 110"/>
                                <a:gd name="T10" fmla="*/ 81 w 117"/>
                                <a:gd name="T11" fmla="*/ 68 h 110"/>
                                <a:gd name="T12" fmla="*/ 95 w 117"/>
                                <a:gd name="T13" fmla="*/ 110 h 110"/>
                                <a:gd name="T14" fmla="*/ 59 w 117"/>
                                <a:gd name="T15" fmla="*/ 84 h 110"/>
                                <a:gd name="T16" fmla="*/ 23 w 117"/>
                                <a:gd name="T17" fmla="*/ 110 h 110"/>
                                <a:gd name="T18" fmla="*/ 36 w 117"/>
                                <a:gd name="T19" fmla="*/ 68 h 110"/>
                                <a:gd name="T20" fmla="*/ 0 w 117"/>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 h="110">
                                  <a:moveTo>
                                    <a:pt x="0" y="42"/>
                                  </a:moveTo>
                                  <a:lnTo>
                                    <a:pt x="45" y="42"/>
                                  </a:lnTo>
                                  <a:lnTo>
                                    <a:pt x="59" y="0"/>
                                  </a:lnTo>
                                  <a:lnTo>
                                    <a:pt x="72" y="42"/>
                                  </a:lnTo>
                                  <a:lnTo>
                                    <a:pt x="117" y="42"/>
                                  </a:lnTo>
                                  <a:lnTo>
                                    <a:pt x="81" y="68"/>
                                  </a:lnTo>
                                  <a:lnTo>
                                    <a:pt x="95" y="110"/>
                                  </a:lnTo>
                                  <a:lnTo>
                                    <a:pt x="59" y="84"/>
                                  </a:lnTo>
                                  <a:lnTo>
                                    <a:pt x="23"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81"/>
                          <wps:cNvSpPr>
                            <a:spLocks/>
                          </wps:cNvSpPr>
                          <wps:spPr bwMode="auto">
                            <a:xfrm>
                              <a:off x="752" y="1086"/>
                              <a:ext cx="115" cy="111"/>
                            </a:xfrm>
                            <a:custGeom>
                              <a:avLst/>
                              <a:gdLst>
                                <a:gd name="T0" fmla="*/ 0 w 115"/>
                                <a:gd name="T1" fmla="*/ 42 h 111"/>
                                <a:gd name="T2" fmla="*/ 44 w 115"/>
                                <a:gd name="T3" fmla="*/ 42 h 111"/>
                                <a:gd name="T4" fmla="*/ 57 w 115"/>
                                <a:gd name="T5" fmla="*/ 0 h 111"/>
                                <a:gd name="T6" fmla="*/ 70 w 115"/>
                                <a:gd name="T7" fmla="*/ 42 h 111"/>
                                <a:gd name="T8" fmla="*/ 115 w 115"/>
                                <a:gd name="T9" fmla="*/ 42 h 111"/>
                                <a:gd name="T10" fmla="*/ 79 w 115"/>
                                <a:gd name="T11" fmla="*/ 70 h 111"/>
                                <a:gd name="T12" fmla="*/ 93 w 115"/>
                                <a:gd name="T13" fmla="*/ 111 h 111"/>
                                <a:gd name="T14" fmla="*/ 57 w 115"/>
                                <a:gd name="T15" fmla="*/ 86 h 111"/>
                                <a:gd name="T16" fmla="*/ 21 w 115"/>
                                <a:gd name="T17" fmla="*/ 111 h 111"/>
                                <a:gd name="T18" fmla="*/ 36 w 115"/>
                                <a:gd name="T19" fmla="*/ 70 h 111"/>
                                <a:gd name="T20" fmla="*/ 0 w 115"/>
                                <a:gd name="T21" fmla="*/ 42 h 11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1">
                                  <a:moveTo>
                                    <a:pt x="0" y="42"/>
                                  </a:moveTo>
                                  <a:lnTo>
                                    <a:pt x="44" y="42"/>
                                  </a:lnTo>
                                  <a:lnTo>
                                    <a:pt x="57" y="0"/>
                                  </a:lnTo>
                                  <a:lnTo>
                                    <a:pt x="70" y="42"/>
                                  </a:lnTo>
                                  <a:lnTo>
                                    <a:pt x="115" y="42"/>
                                  </a:lnTo>
                                  <a:lnTo>
                                    <a:pt x="79" y="70"/>
                                  </a:lnTo>
                                  <a:lnTo>
                                    <a:pt x="93" y="111"/>
                                  </a:lnTo>
                                  <a:lnTo>
                                    <a:pt x="57" y="86"/>
                                  </a:lnTo>
                                  <a:lnTo>
                                    <a:pt x="21" y="111"/>
                                  </a:lnTo>
                                  <a:lnTo>
                                    <a:pt x="36" y="70"/>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2"/>
                          <wps:cNvSpPr>
                            <a:spLocks/>
                          </wps:cNvSpPr>
                          <wps:spPr bwMode="auto">
                            <a:xfrm>
                              <a:off x="583" y="1043"/>
                              <a:ext cx="115" cy="110"/>
                            </a:xfrm>
                            <a:custGeom>
                              <a:avLst/>
                              <a:gdLst>
                                <a:gd name="T0" fmla="*/ 0 w 115"/>
                                <a:gd name="T1" fmla="*/ 42 h 110"/>
                                <a:gd name="T2" fmla="*/ 45 w 115"/>
                                <a:gd name="T3" fmla="*/ 42 h 110"/>
                                <a:gd name="T4" fmla="*/ 58 w 115"/>
                                <a:gd name="T5" fmla="*/ 0 h 110"/>
                                <a:gd name="T6" fmla="*/ 72 w 115"/>
                                <a:gd name="T7" fmla="*/ 42 h 110"/>
                                <a:gd name="T8" fmla="*/ 115 w 115"/>
                                <a:gd name="T9" fmla="*/ 42 h 110"/>
                                <a:gd name="T10" fmla="*/ 81 w 115"/>
                                <a:gd name="T11" fmla="*/ 68 h 110"/>
                                <a:gd name="T12" fmla="*/ 94 w 115"/>
                                <a:gd name="T13" fmla="*/ 110 h 110"/>
                                <a:gd name="T14" fmla="*/ 58 w 115"/>
                                <a:gd name="T15" fmla="*/ 84 h 110"/>
                                <a:gd name="T16" fmla="*/ 21 w 115"/>
                                <a:gd name="T17" fmla="*/ 110 h 110"/>
                                <a:gd name="T18" fmla="*/ 36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5" y="42"/>
                                  </a:lnTo>
                                  <a:lnTo>
                                    <a:pt x="58" y="0"/>
                                  </a:lnTo>
                                  <a:lnTo>
                                    <a:pt x="72" y="42"/>
                                  </a:lnTo>
                                  <a:lnTo>
                                    <a:pt x="115" y="42"/>
                                  </a:lnTo>
                                  <a:lnTo>
                                    <a:pt x="81" y="68"/>
                                  </a:lnTo>
                                  <a:lnTo>
                                    <a:pt x="94" y="110"/>
                                  </a:lnTo>
                                  <a:lnTo>
                                    <a:pt x="58" y="84"/>
                                  </a:lnTo>
                                  <a:lnTo>
                                    <a:pt x="21"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3"/>
                          <wps:cNvSpPr>
                            <a:spLocks/>
                          </wps:cNvSpPr>
                          <wps:spPr bwMode="auto">
                            <a:xfrm>
                              <a:off x="459" y="919"/>
                              <a:ext cx="115" cy="110"/>
                            </a:xfrm>
                            <a:custGeom>
                              <a:avLst/>
                              <a:gdLst>
                                <a:gd name="T0" fmla="*/ 0 w 115"/>
                                <a:gd name="T1" fmla="*/ 42 h 110"/>
                                <a:gd name="T2" fmla="*/ 43 w 115"/>
                                <a:gd name="T3" fmla="*/ 42 h 110"/>
                                <a:gd name="T4" fmla="*/ 57 w 115"/>
                                <a:gd name="T5" fmla="*/ 0 h 110"/>
                                <a:gd name="T6" fmla="*/ 70 w 115"/>
                                <a:gd name="T7" fmla="*/ 42 h 110"/>
                                <a:gd name="T8" fmla="*/ 115 w 115"/>
                                <a:gd name="T9" fmla="*/ 42 h 110"/>
                                <a:gd name="T10" fmla="*/ 79 w 115"/>
                                <a:gd name="T11" fmla="*/ 68 h 110"/>
                                <a:gd name="T12" fmla="*/ 94 w 115"/>
                                <a:gd name="T13" fmla="*/ 110 h 110"/>
                                <a:gd name="T14" fmla="*/ 57 w 115"/>
                                <a:gd name="T15" fmla="*/ 84 h 110"/>
                                <a:gd name="T16" fmla="*/ 21 w 115"/>
                                <a:gd name="T17" fmla="*/ 110 h 110"/>
                                <a:gd name="T18" fmla="*/ 34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3" y="42"/>
                                  </a:lnTo>
                                  <a:lnTo>
                                    <a:pt x="57" y="0"/>
                                  </a:lnTo>
                                  <a:lnTo>
                                    <a:pt x="70" y="42"/>
                                  </a:lnTo>
                                  <a:lnTo>
                                    <a:pt x="115" y="42"/>
                                  </a:lnTo>
                                  <a:lnTo>
                                    <a:pt x="79" y="68"/>
                                  </a:lnTo>
                                  <a:lnTo>
                                    <a:pt x="94" y="110"/>
                                  </a:lnTo>
                                  <a:lnTo>
                                    <a:pt x="57" y="84"/>
                                  </a:lnTo>
                                  <a:lnTo>
                                    <a:pt x="21" y="110"/>
                                  </a:lnTo>
                                  <a:lnTo>
                                    <a:pt x="34"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4"/>
                          <wps:cNvSpPr>
                            <a:spLocks/>
                          </wps:cNvSpPr>
                          <wps:spPr bwMode="auto">
                            <a:xfrm>
                              <a:off x="414" y="751"/>
                              <a:ext cx="115" cy="109"/>
                            </a:xfrm>
                            <a:custGeom>
                              <a:avLst/>
                              <a:gdLst>
                                <a:gd name="T0" fmla="*/ 0 w 115"/>
                                <a:gd name="T1" fmla="*/ 41 h 109"/>
                                <a:gd name="T2" fmla="*/ 45 w 115"/>
                                <a:gd name="T3" fmla="*/ 41 h 109"/>
                                <a:gd name="T4" fmla="*/ 59 w 115"/>
                                <a:gd name="T5" fmla="*/ 0 h 109"/>
                                <a:gd name="T6" fmla="*/ 72 w 115"/>
                                <a:gd name="T7" fmla="*/ 41 h 109"/>
                                <a:gd name="T8" fmla="*/ 115 w 115"/>
                                <a:gd name="T9" fmla="*/ 41 h 109"/>
                                <a:gd name="T10" fmla="*/ 81 w 115"/>
                                <a:gd name="T11" fmla="*/ 67 h 109"/>
                                <a:gd name="T12" fmla="*/ 94 w 115"/>
                                <a:gd name="T13" fmla="*/ 109 h 109"/>
                                <a:gd name="T14" fmla="*/ 59 w 115"/>
                                <a:gd name="T15" fmla="*/ 83 h 109"/>
                                <a:gd name="T16" fmla="*/ 23 w 115"/>
                                <a:gd name="T17" fmla="*/ 109 h 109"/>
                                <a:gd name="T18" fmla="*/ 36 w 115"/>
                                <a:gd name="T19" fmla="*/ 67 h 109"/>
                                <a:gd name="T20" fmla="*/ 0 w 115"/>
                                <a:gd name="T21" fmla="*/ 41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1"/>
                                  </a:moveTo>
                                  <a:lnTo>
                                    <a:pt x="45" y="41"/>
                                  </a:lnTo>
                                  <a:lnTo>
                                    <a:pt x="59" y="0"/>
                                  </a:lnTo>
                                  <a:lnTo>
                                    <a:pt x="72" y="41"/>
                                  </a:lnTo>
                                  <a:lnTo>
                                    <a:pt x="115" y="41"/>
                                  </a:lnTo>
                                  <a:lnTo>
                                    <a:pt x="81" y="67"/>
                                  </a:lnTo>
                                  <a:lnTo>
                                    <a:pt x="94" y="109"/>
                                  </a:lnTo>
                                  <a:lnTo>
                                    <a:pt x="59" y="83"/>
                                  </a:lnTo>
                                  <a:lnTo>
                                    <a:pt x="23" y="109"/>
                                  </a:lnTo>
                                  <a:lnTo>
                                    <a:pt x="36" y="67"/>
                                  </a:lnTo>
                                  <a:lnTo>
                                    <a:pt x="0" y="41"/>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5"/>
                          <wps:cNvSpPr>
                            <a:spLocks/>
                          </wps:cNvSpPr>
                          <wps:spPr bwMode="auto">
                            <a:xfrm>
                              <a:off x="459" y="582"/>
                              <a:ext cx="115" cy="109"/>
                            </a:xfrm>
                            <a:custGeom>
                              <a:avLst/>
                              <a:gdLst>
                                <a:gd name="T0" fmla="*/ 0 w 115"/>
                                <a:gd name="T1" fmla="*/ 42 h 109"/>
                                <a:gd name="T2" fmla="*/ 43 w 115"/>
                                <a:gd name="T3" fmla="*/ 42 h 109"/>
                                <a:gd name="T4" fmla="*/ 57 w 115"/>
                                <a:gd name="T5" fmla="*/ 0 h 109"/>
                                <a:gd name="T6" fmla="*/ 70 w 115"/>
                                <a:gd name="T7" fmla="*/ 42 h 109"/>
                                <a:gd name="T8" fmla="*/ 115 w 115"/>
                                <a:gd name="T9" fmla="*/ 42 h 109"/>
                                <a:gd name="T10" fmla="*/ 79 w 115"/>
                                <a:gd name="T11" fmla="*/ 68 h 109"/>
                                <a:gd name="T12" fmla="*/ 94 w 115"/>
                                <a:gd name="T13" fmla="*/ 109 h 109"/>
                                <a:gd name="T14" fmla="*/ 57 w 115"/>
                                <a:gd name="T15" fmla="*/ 85 h 109"/>
                                <a:gd name="T16" fmla="*/ 21 w 115"/>
                                <a:gd name="T17" fmla="*/ 109 h 109"/>
                                <a:gd name="T18" fmla="*/ 34 w 115"/>
                                <a:gd name="T19" fmla="*/ 68 h 109"/>
                                <a:gd name="T20" fmla="*/ 0 w 115"/>
                                <a:gd name="T21" fmla="*/ 42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2"/>
                                  </a:moveTo>
                                  <a:lnTo>
                                    <a:pt x="43" y="42"/>
                                  </a:lnTo>
                                  <a:lnTo>
                                    <a:pt x="57" y="0"/>
                                  </a:lnTo>
                                  <a:lnTo>
                                    <a:pt x="70" y="42"/>
                                  </a:lnTo>
                                  <a:lnTo>
                                    <a:pt x="115" y="42"/>
                                  </a:lnTo>
                                  <a:lnTo>
                                    <a:pt x="79" y="68"/>
                                  </a:lnTo>
                                  <a:lnTo>
                                    <a:pt x="94" y="109"/>
                                  </a:lnTo>
                                  <a:lnTo>
                                    <a:pt x="57" y="85"/>
                                  </a:lnTo>
                                  <a:lnTo>
                                    <a:pt x="21" y="109"/>
                                  </a:lnTo>
                                  <a:lnTo>
                                    <a:pt x="34"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6"/>
                          <wps:cNvSpPr>
                            <a:spLocks/>
                          </wps:cNvSpPr>
                          <wps:spPr bwMode="auto">
                            <a:xfrm>
                              <a:off x="583" y="458"/>
                              <a:ext cx="115" cy="110"/>
                            </a:xfrm>
                            <a:custGeom>
                              <a:avLst/>
                              <a:gdLst>
                                <a:gd name="T0" fmla="*/ 0 w 115"/>
                                <a:gd name="T1" fmla="*/ 42 h 110"/>
                                <a:gd name="T2" fmla="*/ 45 w 115"/>
                                <a:gd name="T3" fmla="*/ 42 h 110"/>
                                <a:gd name="T4" fmla="*/ 58 w 115"/>
                                <a:gd name="T5" fmla="*/ 0 h 110"/>
                                <a:gd name="T6" fmla="*/ 72 w 115"/>
                                <a:gd name="T7" fmla="*/ 42 h 110"/>
                                <a:gd name="T8" fmla="*/ 115 w 115"/>
                                <a:gd name="T9" fmla="*/ 42 h 110"/>
                                <a:gd name="T10" fmla="*/ 81 w 115"/>
                                <a:gd name="T11" fmla="*/ 68 h 110"/>
                                <a:gd name="T12" fmla="*/ 94 w 115"/>
                                <a:gd name="T13" fmla="*/ 110 h 110"/>
                                <a:gd name="T14" fmla="*/ 58 w 115"/>
                                <a:gd name="T15" fmla="*/ 84 h 110"/>
                                <a:gd name="T16" fmla="*/ 21 w 115"/>
                                <a:gd name="T17" fmla="*/ 110 h 110"/>
                                <a:gd name="T18" fmla="*/ 36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5" y="42"/>
                                  </a:lnTo>
                                  <a:lnTo>
                                    <a:pt x="58" y="0"/>
                                  </a:lnTo>
                                  <a:lnTo>
                                    <a:pt x="72" y="42"/>
                                  </a:lnTo>
                                  <a:lnTo>
                                    <a:pt x="115" y="42"/>
                                  </a:lnTo>
                                  <a:lnTo>
                                    <a:pt x="81" y="68"/>
                                  </a:lnTo>
                                  <a:lnTo>
                                    <a:pt x="94" y="110"/>
                                  </a:lnTo>
                                  <a:lnTo>
                                    <a:pt x="58" y="84"/>
                                  </a:lnTo>
                                  <a:lnTo>
                                    <a:pt x="21"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7"/>
                          <wps:cNvSpPr>
                            <a:spLocks/>
                          </wps:cNvSpPr>
                          <wps:spPr bwMode="auto">
                            <a:xfrm>
                              <a:off x="752" y="413"/>
                              <a:ext cx="115" cy="111"/>
                            </a:xfrm>
                            <a:custGeom>
                              <a:avLst/>
                              <a:gdLst>
                                <a:gd name="T0" fmla="*/ 0 w 115"/>
                                <a:gd name="T1" fmla="*/ 42 h 111"/>
                                <a:gd name="T2" fmla="*/ 44 w 115"/>
                                <a:gd name="T3" fmla="*/ 42 h 111"/>
                                <a:gd name="T4" fmla="*/ 57 w 115"/>
                                <a:gd name="T5" fmla="*/ 0 h 111"/>
                                <a:gd name="T6" fmla="*/ 70 w 115"/>
                                <a:gd name="T7" fmla="*/ 42 h 111"/>
                                <a:gd name="T8" fmla="*/ 115 w 115"/>
                                <a:gd name="T9" fmla="*/ 42 h 111"/>
                                <a:gd name="T10" fmla="*/ 79 w 115"/>
                                <a:gd name="T11" fmla="*/ 69 h 111"/>
                                <a:gd name="T12" fmla="*/ 93 w 115"/>
                                <a:gd name="T13" fmla="*/ 111 h 111"/>
                                <a:gd name="T14" fmla="*/ 57 w 115"/>
                                <a:gd name="T15" fmla="*/ 85 h 111"/>
                                <a:gd name="T16" fmla="*/ 21 w 115"/>
                                <a:gd name="T17" fmla="*/ 111 h 111"/>
                                <a:gd name="T18" fmla="*/ 36 w 115"/>
                                <a:gd name="T19" fmla="*/ 69 h 111"/>
                                <a:gd name="T20" fmla="*/ 0 w 115"/>
                                <a:gd name="T21" fmla="*/ 42 h 11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1">
                                  <a:moveTo>
                                    <a:pt x="0" y="42"/>
                                  </a:moveTo>
                                  <a:lnTo>
                                    <a:pt x="44" y="42"/>
                                  </a:lnTo>
                                  <a:lnTo>
                                    <a:pt x="57" y="0"/>
                                  </a:lnTo>
                                  <a:lnTo>
                                    <a:pt x="70" y="42"/>
                                  </a:lnTo>
                                  <a:lnTo>
                                    <a:pt x="115" y="42"/>
                                  </a:lnTo>
                                  <a:lnTo>
                                    <a:pt x="79" y="69"/>
                                  </a:lnTo>
                                  <a:lnTo>
                                    <a:pt x="93" y="111"/>
                                  </a:lnTo>
                                  <a:lnTo>
                                    <a:pt x="57" y="85"/>
                                  </a:lnTo>
                                  <a:lnTo>
                                    <a:pt x="21" y="111"/>
                                  </a:lnTo>
                                  <a:lnTo>
                                    <a:pt x="36" y="69"/>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88"/>
                          <wps:cNvSpPr>
                            <a:spLocks noChangeArrowheads="1"/>
                          </wps:cNvSpPr>
                          <wps:spPr bwMode="auto">
                            <a:xfrm>
                              <a:off x="52" y="301"/>
                              <a:ext cx="1515" cy="1009"/>
                            </a:xfrm>
                            <a:prstGeom prst="rect">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89"/>
                          <wps:cNvSpPr>
                            <a:spLocks noChangeArrowheads="1"/>
                          </wps:cNvSpPr>
                          <wps:spPr bwMode="auto">
                            <a:xfrm>
                              <a:off x="14" y="276"/>
                              <a:ext cx="1590" cy="106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 name="Rectangle 90"/>
                        <wps:cNvSpPr>
                          <a:spLocks noChangeArrowheads="1"/>
                        </wps:cNvSpPr>
                        <wps:spPr bwMode="auto">
                          <a:xfrm>
                            <a:off x="1017217" y="712405"/>
                            <a:ext cx="4260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rFonts w:ascii="Arial" w:hAnsi="Arial" w:cs="Arial"/>
                                  <w:color w:val="000000"/>
                                  <w:lang w:val="en-US"/>
                                </w:rPr>
                                <w:t xml:space="preserve"> </w:t>
                              </w:r>
                            </w:p>
                          </w:txbxContent>
                        </wps:txbx>
                        <wps:bodyPr rot="0" vert="horz" wrap="none" lIns="0" tIns="0" rIns="0" bIns="0" anchor="t" anchorCtr="0" upright="1">
                          <a:spAutoFit/>
                        </wps:bodyPr>
                      </wps:wsp>
                      <wps:wsp>
                        <wps:cNvPr id="19" name="Rectangle 91"/>
                        <wps:cNvSpPr>
                          <a:spLocks noChangeArrowheads="1"/>
                        </wps:cNvSpPr>
                        <wps:spPr bwMode="auto">
                          <a:xfrm>
                            <a:off x="1161484" y="179701"/>
                            <a:ext cx="18967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rFonts w:ascii="Arial" w:hAnsi="Arial" w:cs="Arial"/>
                                  <w:color w:val="000000"/>
                                  <w:lang w:val="en-US"/>
                                </w:rPr>
                                <w:t>EUROPEAN COMMISSION</w:t>
                              </w:r>
                            </w:p>
                          </w:txbxContent>
                        </wps:txbx>
                        <wps:bodyPr rot="0" vert="horz" wrap="none" lIns="0" tIns="0" rIns="0" bIns="0" anchor="t" anchorCtr="0" upright="1">
                          <a:spAutoFit/>
                        </wps:bodyPr>
                      </wps:wsp>
                      <wps:wsp>
                        <wps:cNvPr id="20" name="Rectangle 92"/>
                        <wps:cNvSpPr>
                          <a:spLocks noChangeArrowheads="1"/>
                        </wps:cNvSpPr>
                        <wps:spPr bwMode="auto">
                          <a:xfrm>
                            <a:off x="3060750" y="179701"/>
                            <a:ext cx="42501"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rFonts w:ascii="Arial" w:hAnsi="Arial" w:cs="Arial"/>
                                  <w:color w:val="000000"/>
                                  <w:lang w:val="en-US"/>
                                </w:rPr>
                                <w:t xml:space="preserve"> </w:t>
                              </w:r>
                            </w:p>
                          </w:txbxContent>
                        </wps:txbx>
                        <wps:bodyPr rot="0" vert="horz" wrap="none" lIns="0" tIns="0" rIns="0" bIns="0" anchor="t" anchorCtr="0" upright="1">
                          <a:spAutoFit/>
                        </wps:bodyPr>
                      </wps:wsp>
                      <wps:wsp>
                        <wps:cNvPr id="21" name="Rectangle 93"/>
                        <wps:cNvSpPr>
                          <a:spLocks noChangeArrowheads="1"/>
                        </wps:cNvSpPr>
                        <wps:spPr bwMode="auto">
                          <a:xfrm>
                            <a:off x="5742993" y="179701"/>
                            <a:ext cx="42501"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rFonts w:ascii="Arial" w:hAnsi="Arial" w:cs="Arial"/>
                                  <w:color w:val="000000"/>
                                  <w:lang w:val="en-US"/>
                                </w:rPr>
                                <w:t xml:space="preserve"> </w:t>
                              </w:r>
                            </w:p>
                          </w:txbxContent>
                        </wps:txbx>
                        <wps:bodyPr rot="0" vert="horz" wrap="none" lIns="0" tIns="0" rIns="0" bIns="0" anchor="t" anchorCtr="0" upright="1">
                          <a:spAutoFit/>
                        </wps:bodyPr>
                      </wps:wsp>
                      <wps:wsp>
                        <wps:cNvPr id="22" name="Rectangle 94"/>
                        <wps:cNvSpPr>
                          <a:spLocks noChangeArrowheads="1"/>
                        </wps:cNvSpPr>
                        <wps:spPr bwMode="auto">
                          <a:xfrm>
                            <a:off x="3249759" y="1092208"/>
                            <a:ext cx="923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color w:val="000000"/>
                                  <w:lang w:val="en-US"/>
                                </w:rPr>
                                <w:t>Brussels, XXX</w:t>
                              </w:r>
                            </w:p>
                          </w:txbxContent>
                        </wps:txbx>
                        <wps:bodyPr rot="0" vert="horz" wrap="none" lIns="0" tIns="0" rIns="0" bIns="0" anchor="t" anchorCtr="0" upright="1">
                          <a:spAutoFit/>
                        </wps:bodyPr>
                      </wps:wsp>
                      <wps:wsp>
                        <wps:cNvPr id="23" name="Rectangle 95"/>
                        <wps:cNvSpPr>
                          <a:spLocks noChangeArrowheads="1"/>
                        </wps:cNvSpPr>
                        <wps:spPr bwMode="auto">
                          <a:xfrm>
                            <a:off x="4171952" y="1092208"/>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color w:val="000000"/>
                                  <w:lang w:val="en-US"/>
                                </w:rPr>
                                <w:t xml:space="preserve"> </w:t>
                              </w:r>
                            </w:p>
                          </w:txbxContent>
                        </wps:txbx>
                        <wps:bodyPr rot="0" vert="horz" wrap="none" lIns="0" tIns="0" rIns="0" bIns="0" anchor="t" anchorCtr="0" upright="1">
                          <a:spAutoFit/>
                        </wps:bodyPr>
                      </wps:wsp>
                      <wps:wsp>
                        <wps:cNvPr id="24" name="Rectangle 96"/>
                        <wps:cNvSpPr>
                          <a:spLocks noChangeArrowheads="1"/>
                        </wps:cNvSpPr>
                        <wps:spPr bwMode="auto">
                          <a:xfrm>
                            <a:off x="3249759" y="1267409"/>
                            <a:ext cx="2540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color w:val="0000FF"/>
                                  <w:lang w:val="en-US"/>
                                </w:rPr>
                                <w:t>[…]</w:t>
                              </w:r>
                            </w:p>
                          </w:txbxContent>
                        </wps:txbx>
                        <wps:bodyPr rot="0" vert="horz" wrap="none" lIns="0" tIns="0" rIns="0" bIns="0" anchor="t" anchorCtr="0" upright="1">
                          <a:spAutoFit/>
                        </wps:bodyPr>
                      </wps:wsp>
                      <wps:wsp>
                        <wps:cNvPr id="25" name="Rectangle 97"/>
                        <wps:cNvSpPr>
                          <a:spLocks noChangeArrowheads="1"/>
                        </wps:cNvSpPr>
                        <wps:spPr bwMode="auto">
                          <a:xfrm>
                            <a:off x="3506146" y="1267409"/>
                            <a:ext cx="110045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color w:val="000000"/>
                                  <w:lang w:val="en-US"/>
                                </w:rPr>
                                <w:t>(2017) XXX draft</w:t>
                              </w:r>
                            </w:p>
                          </w:txbxContent>
                        </wps:txbx>
                        <wps:bodyPr rot="0" vert="horz" wrap="none" lIns="0" tIns="0" rIns="0" bIns="0" anchor="t" anchorCtr="0" upright="1">
                          <a:spAutoFit/>
                        </wps:bodyPr>
                      </wps:wsp>
                      <wps:wsp>
                        <wps:cNvPr id="26" name="Rectangle 98"/>
                        <wps:cNvSpPr>
                          <a:spLocks noChangeArrowheads="1"/>
                        </wps:cNvSpPr>
                        <wps:spPr bwMode="auto">
                          <a:xfrm>
                            <a:off x="4603561" y="1267409"/>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color w:val="000000"/>
                                  <w:lang w:val="en-US"/>
                                </w:rPr>
                                <w:t xml:space="preserve"> </w:t>
                              </w:r>
                            </w:p>
                          </w:txbxContent>
                        </wps:txbx>
                        <wps:bodyPr rot="0" vert="horz" wrap="none" lIns="0" tIns="0" rIns="0" bIns="0" anchor="t" anchorCtr="0" upright="1">
                          <a:spAutoFit/>
                        </wps:bodyPr>
                      </wps:wsp>
                      <wps:wsp>
                        <wps:cNvPr id="27" name="Rectangle 99"/>
                        <wps:cNvSpPr>
                          <a:spLocks noChangeArrowheads="1"/>
                        </wps:cNvSpPr>
                        <wps:spPr bwMode="auto">
                          <a:xfrm>
                            <a:off x="3249759" y="174811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color w:val="000000"/>
                                  <w:lang w:val="en-US"/>
                                </w:rPr>
                                <w:t xml:space="preserve"> </w:t>
                              </w:r>
                            </w:p>
                          </w:txbxContent>
                        </wps:txbx>
                        <wps:bodyPr rot="0" vert="horz" wrap="none" lIns="0" tIns="0" rIns="0" bIns="0" anchor="t" anchorCtr="0" upright="1">
                          <a:spAutoFit/>
                        </wps:bodyPr>
                      </wps:wsp>
                      <wps:wsp>
                        <wps:cNvPr id="28" name="Rectangle 100"/>
                        <wps:cNvSpPr>
                          <a:spLocks noChangeArrowheads="1"/>
                        </wps:cNvSpPr>
                        <wps:spPr bwMode="auto">
                          <a:xfrm>
                            <a:off x="3287841" y="174811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color w:val="000000"/>
                                  <w:lang w:val="en-US"/>
                                </w:rPr>
                                <w:t xml:space="preserve"> </w:t>
                              </w:r>
                            </w:p>
                          </w:txbxContent>
                        </wps:txbx>
                        <wps:bodyPr rot="0" vert="horz" wrap="none" lIns="0" tIns="0" rIns="0" bIns="0" anchor="t" anchorCtr="0" upright="1">
                          <a:spAutoFit/>
                        </wps:bodyPr>
                      </wps:wsp>
                      <wps:wsp>
                        <wps:cNvPr id="29" name="Rectangle 101"/>
                        <wps:cNvSpPr>
                          <a:spLocks noChangeArrowheads="1"/>
                        </wps:cNvSpPr>
                        <wps:spPr bwMode="auto">
                          <a:xfrm>
                            <a:off x="738512" y="2305016"/>
                            <a:ext cx="40944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b/>
                                  <w:bCs/>
                                  <w:color w:val="000000"/>
                                  <w:lang w:val="en-US"/>
                                </w:rPr>
                                <w:t>COMMISSION IMPLEMENTING REGULATION (EU</w:t>
                              </w:r>
                              <w:proofErr w:type="gramStart"/>
                              <w:r>
                                <w:rPr>
                                  <w:b/>
                                  <w:bCs/>
                                  <w:color w:val="000000"/>
                                  <w:lang w:val="en-US"/>
                                </w:rPr>
                                <w:t>)  …</w:t>
                              </w:r>
                              <w:proofErr w:type="gramEnd"/>
                              <w:r>
                                <w:rPr>
                                  <w:b/>
                                  <w:bCs/>
                                  <w:color w:val="000000"/>
                                  <w:lang w:val="en-US"/>
                                </w:rPr>
                                <w:t>/..</w:t>
                              </w:r>
                            </w:p>
                          </w:txbxContent>
                        </wps:txbx>
                        <wps:bodyPr rot="0" vert="horz" wrap="none" lIns="0" tIns="0" rIns="0" bIns="0" anchor="t" anchorCtr="0" upright="1">
                          <a:spAutoFit/>
                        </wps:bodyPr>
                      </wps:wsp>
                      <wps:wsp>
                        <wps:cNvPr id="30" name="Rectangle 102"/>
                        <wps:cNvSpPr>
                          <a:spLocks noChangeArrowheads="1"/>
                        </wps:cNvSpPr>
                        <wps:spPr bwMode="auto">
                          <a:xfrm>
                            <a:off x="5029807" y="2305016"/>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b/>
                                  <w:bCs/>
                                  <w:color w:val="000000"/>
                                  <w:lang w:val="en-US"/>
                                </w:rPr>
                                <w:t xml:space="preserve"> </w:t>
                              </w:r>
                            </w:p>
                          </w:txbxContent>
                        </wps:txbx>
                        <wps:bodyPr rot="0" vert="horz" wrap="none" lIns="0" tIns="0" rIns="0" bIns="0" anchor="t" anchorCtr="0" upright="1">
                          <a:spAutoFit/>
                        </wps:bodyPr>
                      </wps:wsp>
                      <wps:wsp>
                        <wps:cNvPr id="31" name="Rectangle 103"/>
                        <wps:cNvSpPr>
                          <a:spLocks noChangeArrowheads="1"/>
                        </wps:cNvSpPr>
                        <wps:spPr bwMode="auto">
                          <a:xfrm>
                            <a:off x="2641491" y="2709519"/>
                            <a:ext cx="3429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proofErr w:type="gramStart"/>
                              <w:r>
                                <w:rPr>
                                  <w:b/>
                                  <w:bCs/>
                                  <w:color w:val="000000"/>
                                  <w:lang w:val="en-US"/>
                                </w:rPr>
                                <w:t>of</w:t>
                              </w:r>
                              <w:proofErr w:type="gramEnd"/>
                              <w:r>
                                <w:rPr>
                                  <w:b/>
                                  <w:bCs/>
                                  <w:color w:val="000000"/>
                                  <w:lang w:val="en-US"/>
                                </w:rPr>
                                <w:t xml:space="preserve"> [  ]</w:t>
                              </w:r>
                            </w:p>
                          </w:txbxContent>
                        </wps:txbx>
                        <wps:bodyPr rot="0" vert="horz" wrap="none" lIns="0" tIns="0" rIns="0" bIns="0" anchor="t" anchorCtr="0" upright="1">
                          <a:spAutoFit/>
                        </wps:bodyPr>
                      </wps:wsp>
                      <wps:wsp>
                        <wps:cNvPr id="64" name="Rectangle 104"/>
                        <wps:cNvSpPr>
                          <a:spLocks noChangeArrowheads="1"/>
                        </wps:cNvSpPr>
                        <wps:spPr bwMode="auto">
                          <a:xfrm>
                            <a:off x="3136545" y="2709519"/>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b/>
                                  <w:bCs/>
                                  <w:color w:val="000000"/>
                                  <w:lang w:val="en-US"/>
                                </w:rPr>
                                <w:t xml:space="preserve"> </w:t>
                              </w:r>
                            </w:p>
                          </w:txbxContent>
                        </wps:txbx>
                        <wps:bodyPr rot="0" vert="horz" wrap="none" lIns="0" tIns="0" rIns="0" bIns="0" anchor="t" anchorCtr="0" upright="1">
                          <a:spAutoFit/>
                        </wps:bodyPr>
                      </wps:wsp>
                      <wps:wsp>
                        <wps:cNvPr id="65" name="Rectangle 105"/>
                        <wps:cNvSpPr>
                          <a:spLocks noChangeArrowheads="1"/>
                        </wps:cNvSpPr>
                        <wps:spPr bwMode="auto">
                          <a:xfrm>
                            <a:off x="2809108" y="311342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b/>
                                  <w:bCs/>
                                  <w:color w:val="000000"/>
                                  <w:lang w:val="en-US"/>
                                </w:rPr>
                                <w:t xml:space="preserve"> </w:t>
                              </w:r>
                            </w:p>
                          </w:txbxContent>
                        </wps:txbx>
                        <wps:bodyPr rot="0" vert="horz" wrap="none" lIns="0" tIns="0" rIns="0" bIns="0" anchor="t" anchorCtr="0" upright="1">
                          <a:spAutoFit/>
                        </wps:bodyPr>
                      </wps:wsp>
                      <wps:wsp>
                        <wps:cNvPr id="66" name="Rectangle 106"/>
                        <wps:cNvSpPr>
                          <a:spLocks noChangeArrowheads="1"/>
                        </wps:cNvSpPr>
                        <wps:spPr bwMode="auto">
                          <a:xfrm>
                            <a:off x="3009011" y="3113422"/>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200" w:rsidRDefault="00B24200" w:rsidP="00630BD4">
                              <w:r>
                                <w:rPr>
                                  <w:b/>
                                  <w:bCs/>
                                  <w:color w:val="000000"/>
                                  <w:lang w:val="en-US"/>
                                </w:rPr>
                                <w:t xml:space="preserve"> </w:t>
                              </w:r>
                            </w:p>
                          </w:txbxContent>
                        </wps:txbx>
                        <wps:bodyPr rot="0" vert="horz" wrap="none" lIns="0" tIns="0" rIns="0" bIns="0" anchor="t" anchorCtr="0" upright="1">
                          <a:spAutoFit/>
                        </wps:bodyPr>
                      </wps:wsp>
                    </wpc:wpc>
                  </a:graphicData>
                </a:graphic>
              </wp:inline>
            </w:drawing>
          </mc:Choice>
          <mc:Fallback>
            <w:pict>
              <v:group id="Canvas 67" o:spid="_x0000_s1026" editas="canvas" style="width:540.1pt;height:284.75pt;mso-position-horizontal-relative:char;mso-position-vertical-relative:line" coordsize="68586,3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6;height:36163;visibility:visible;mso-wrap-style:square">
                  <v:fill o:detectmouseclick="t"/>
                  <v:path o:connecttype="none"/>
                </v:shape>
                <v:rect id="Rectangle 74" o:spid="_x0000_s1028" style="position:absolute;left:88;top:57;width: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uLb4A&#10;AADaAAAADwAAAGRycy9kb3ducmV2LnhtbERP3WrCMBS+H/gO4Qy8W9N5MaRrlDEQnOzG6gMcmtOm&#10;LDkpSbTd2xtB8Orw8f2eejs7K64U4uBZwXtRgiBuvR64V3A+7d7WIGJC1mg9k4J/irDdLF5qrLSf&#10;+EjXJvUih3CsUIFJaaykjK0hh7HwI3HmOh8cpgxDL3XAKYc7K1dl+SEdDpwbDI70baj9ay5OgTw1&#10;u2nd2FD6w6r7tT/7Y0deqeXr/PUJItGcnuKHe6/zfLi/cr9y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nri2+AAAA2gAAAA8AAAAAAAAAAAAAAAAAmAIAAGRycy9kb3ducmV2&#10;LnhtbFBLBQYAAAAABAAEAPUAAACDAwAAAAA=&#10;" filled="f" stroked="f">
                  <v:textbox style="mso-fit-shape-to-text:t" inset="0,0,0,0">
                    <w:txbxContent>
                      <w:p w:rsidR="00B24200" w:rsidRDefault="00B24200" w:rsidP="00630BD4">
                        <w:r>
                          <w:rPr>
                            <w:rFonts w:ascii="Arial" w:hAnsi="Arial" w:cs="Arial"/>
                            <w:color w:val="000000"/>
                            <w:lang w:val="en-US"/>
                          </w:rPr>
                          <w:t xml:space="preserve"> </w:t>
                        </w:r>
                      </w:p>
                    </w:txbxContent>
                  </v:textbox>
                </v:rect>
                <v:group id="Group 75" o:spid="_x0000_s1029" style="position:absolute;left:88;top:1752;width:10097;height:6731" coordorigin="14,276" coordsize="1590,1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76" o:spid="_x0000_s1030" style="position:absolute;left:919;top:458;width:117;height:110;visibility:visible;mso-wrap-style:square;v-text-anchor:top" coordsize="117,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g0sMA&#10;AADaAAAADwAAAGRycy9kb3ducmV2LnhtbESPQWuDQBSE74X+h+UVemvWiJRgs0oJJAohBZMeeny4&#10;ryp134q7VfPvs4VCjsPMfMNs88X0YqLRdZYVrFcRCOLa6o4bBZ+X/csGhPPIGnvLpOBKDvLs8WGL&#10;qbYzVzSdfSMChF2KClrvh1RKV7dk0K3sQBy8bzsa9EGOjdQjzgFuehlH0as02HFYaHGgXUv1z/nX&#10;KLCH46XYfxziUzwl0VL5r6IuS6Wen5b3NxCeFn8P/7dLrSCBvyvhBsjs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g0sMAAADaAAAADwAAAAAAAAAAAAAAAACYAgAAZHJzL2Rv&#10;d25yZXYueG1sUEsFBgAAAAAEAAQA9QAAAIgDAAAAAA==&#10;" path="m,42r45,l59,,72,42r45,l81,68r14,42l59,84,23,110,36,68,,42e" filled="f" strokeweight=".45pt">
                    <v:path arrowok="t" o:connecttype="custom" o:connectlocs="0,42;45,42;59,0;72,42;117,42;81,68;95,110;59,84;23,110;36,68;0,42" o:connectangles="0,0,0,0,0,0,0,0,0,0,0"/>
                  </v:shape>
                  <v:shape id="Freeform 77" o:spid="_x0000_s1031" style="position:absolute;left:1044;top:582;width:116;height:109;visibility:visible;mso-wrap-style:square;v-text-anchor:top" coordsize="116,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tr5sIA&#10;AADaAAAADwAAAGRycy9kb3ducmV2LnhtbESPT2sCMRTE70K/Q3iF3jRr/YOsRimFttKbqyDeHpvn&#10;ZnHzsiRx3X57UxA8DjPzG2a16W0jOvKhdqxgPMpAEJdO11wpOOy/hgsQISJrbByTgj8KsFm/DFaY&#10;a3fjHXVFrESCcMhRgYmxzaUMpSGLYeRa4uSdnbcYk/SV1B5vCW4b+Z5lc2mx5rRgsKVPQ+WluFoF&#10;1/idhWN37L01U7k9//5M5Gmi1Ntr/7EEEamPz/CjvdUKZvB/Jd0A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G2vmwgAAANoAAAAPAAAAAAAAAAAAAAAAAJgCAABkcnMvZG93&#10;bnJldi54bWxQSwUGAAAAAAQABAD1AAAAhwMAAAAA&#10;" path="m,42r45,l58,,73,42r43,l81,68r13,41l58,85,22,109,37,68,,42e" filled="f" strokeweight=".45pt">
                    <v:path arrowok="t" o:connecttype="custom" o:connectlocs="0,42;45,42;58,0;73,42;116,42;81,68;94,109;58,85;22,109;37,68;0,42" o:connectangles="0,0,0,0,0,0,0,0,0,0,0"/>
                  </v:shape>
                  <v:shape id="Freeform 78" o:spid="_x0000_s1032" style="position:absolute;left:1088;top:751;width:115;height:109;visibility:visible;mso-wrap-style:square;v-text-anchor:top" coordsize="115,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DV18QA&#10;AADaAAAADwAAAGRycy9kb3ducmV2LnhtbESPQWvCQBSE74L/YXmCN93YioTUVUQsFQSLttB6e2af&#10;STD7NmTXmPz7riD0OMzMN8x82ZpSNFS7wrKCyTgCQZxaXXCm4PvrfRSDcB5ZY2mZFHTkYLno9+aY&#10;aHvnAzVHn4kAYZeggtz7KpHSpTkZdGNbEQfvYmuDPsg6k7rGe4CbUr5E0UwaLDgs5FjROqf0erwZ&#10;Bavzptnt40Oxfe3i7nS1H5+/0x+lhoN29QbCU+v/w8/2ViuYweNKu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A1dfEAAAA2gAAAA8AAAAAAAAAAAAAAAAAmAIAAGRycy9k&#10;b3ducmV2LnhtbFBLBQYAAAAABAAEAPUAAACJAwAAAAA=&#10;" path="m,41r44,l59,,72,41r43,l81,67r13,42l59,83,23,109,36,67,,41e" filled="f" strokeweight=".45pt">
                    <v:path arrowok="t" o:connecttype="custom" o:connectlocs="0,41;44,41;59,0;72,41;115,41;81,67;94,109;59,83;23,109;36,67;0,41" o:connectangles="0,0,0,0,0,0,0,0,0,0,0"/>
                  </v:shape>
                  <v:shape id="Freeform 79" o:spid="_x0000_s1033" style="position:absolute;left:1044;top:919;width:116;height:110;visibility:visible;mso-wrap-style:square;v-text-anchor:top" coordsize="116,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Kjv8MA&#10;AADaAAAADwAAAGRycy9kb3ducmV2LnhtbESPT2sCMRTE7wW/Q3hCbzWr9I+sRpFCtV4KdUU8PjbP&#10;zeLmZUmirn56IxR6HGbmN8x03tlGnMmH2rGC4SADQVw6XXOlYFt8vYxBhIissXFMCq4UYD7rPU0x&#10;1+7Cv3TexEokCIccFZgY21zKUBqyGAauJU7ewXmLMUlfSe3xkuC2kaMse5cWa04LBlv6NFQeNyer&#10;IOvi+tWOl3sqipHxt7fd6vCzU+q53y0mICJ18T/81/7WCj7gcSXdAD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8Kjv8MAAADaAAAADwAAAAAAAAAAAAAAAACYAgAAZHJzL2Rv&#10;d25yZXYueG1sUEsFBgAAAAAEAAQA9QAAAIgDAAAAAA==&#10;" path="m,42r45,l58,,73,42r43,l81,68r13,42l58,84,22,110,37,68,,42e" filled="f" strokeweight=".45pt">
                    <v:path arrowok="t" o:connecttype="custom" o:connectlocs="0,42;45,42;58,0;73,42;116,42;81,68;94,110;58,84;22,110;37,68;0,42" o:connectangles="0,0,0,0,0,0,0,0,0,0,0"/>
                  </v:shape>
                  <v:shape id="Freeform 80" o:spid="_x0000_s1034" style="position:absolute;left:919;top:1043;width:117;height:110;visibility:visible;mso-wrap-style:square;v-text-anchor:top" coordsize="117,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Lq174A&#10;AADaAAAADwAAAGRycy9kb3ducmV2LnhtbERPy6rCMBDdX/AfwgjurqlFRKpRRFALouBj4XJoxrbY&#10;TEoTa/17sxBcHs57vuxMJVpqXGlZwWgYgSDOrC45V3C9bP6nIJxH1lhZJgVvcrBc9P7mmGj74hO1&#10;Z5+LEMIuQQWF93UipcsKMuiGtiYO3N02Bn2ATS51g68QbioZR9FEGiw5NBRY07qg7HF+GgV2u7/s&#10;NsdtfIjbcdSd/G2XpalSg363moHw1Pmf+OtOtYKwNVwJN0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2C6te+AAAA2gAAAA8AAAAAAAAAAAAAAAAAmAIAAGRycy9kb3ducmV2&#10;LnhtbFBLBQYAAAAABAAEAPUAAACDAwAAAAA=&#10;" path="m,42r45,l59,,72,42r45,l81,68r14,42l59,84,23,110,36,68,,42e" filled="f" strokeweight=".45pt">
                    <v:path arrowok="t" o:connecttype="custom" o:connectlocs="0,42;45,42;59,0;72,42;117,42;81,68;95,110;59,84;23,110;36,68;0,42" o:connectangles="0,0,0,0,0,0,0,0,0,0,0"/>
                  </v:shape>
                  <v:shape id="Freeform 81" o:spid="_x0000_s1035" style="position:absolute;left:752;top:1086;width:115;height:111;visibility:visible;mso-wrap-style:square;v-text-anchor:top" coordsize="115,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vICMUA&#10;AADaAAAADwAAAGRycy9kb3ducmV2LnhtbESPQWvCQBSE7wX/w/KEXqRuLLVodBUbEHLwYgylx0f2&#10;mUSzb0N2jem/7woFj8PMfMOst4NpRE+dqy0rmE0jEMSF1TWXCvLT/m0BwnlkjY1lUvBLDrab0csa&#10;Y23vfKQ+86UIEHYxKqi8b2MpXVGRQTe1LXHwzrYz6IPsSqk7vAe4aeR7FH1KgzWHhQpbSioqrtnN&#10;KJh/J4tLOp8s98f86/Yx6ZPDT5op9ToedisQngb/DP+3U61gCY8r4Qb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C8gIxQAAANoAAAAPAAAAAAAAAAAAAAAAAJgCAABkcnMv&#10;ZG93bnJldi54bWxQSwUGAAAAAAQABAD1AAAAigMAAAAA&#10;" path="m,42r44,l57,,70,42r45,l79,70r14,41l57,86,21,111,36,70,,42e" filled="f" strokeweight=".45pt">
                    <v:path arrowok="t" o:connecttype="custom" o:connectlocs="0,42;44,42;57,0;70,42;115,42;79,70;93,111;57,86;21,111;36,70;0,42" o:connectangles="0,0,0,0,0,0,0,0,0,0,0"/>
                  </v:shape>
                  <v:shape id="Freeform 82" o:spid="_x0000_s1036" style="position:absolute;left:583;top:1043;width:115;height:110;visibility:visible;mso-wrap-style:square;v-text-anchor:top" coordsize="115,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WFecUA&#10;AADbAAAADwAAAGRycy9kb3ducmV2LnhtbESPQWvCQBCF74X+h2UKXkQ3tbRIdJVSUQRF0MaDtyE7&#10;TYLZ2ZhdNf33zqHQ2wzvzXvfTOedq9WN2lB5NvA6TEAR595WXBjIvpeDMagQkS3WnsnALwWYz56f&#10;pphaf+c93Q6xUBLCIUUDZYxNqnXIS3IYhr4hFu3Htw6jrG2hbYt3CXe1HiXJh3ZYsTSU2NBXSfn5&#10;cHUGNqftgi+Z7p+OfX57X+0StzlnxvReus8JqEhd/Df/Xa+t4Au9/CID6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tYV5xQAAANsAAAAPAAAAAAAAAAAAAAAAAJgCAABkcnMv&#10;ZG93bnJldi54bWxQSwUGAAAAAAQABAD1AAAAigMAAAAA&#10;" path="m,42r45,l58,,72,42r43,l81,68r13,42l58,84,21,110,36,68,,42e" filled="f" strokeweight=".45pt">
                    <v:path arrowok="t" o:connecttype="custom" o:connectlocs="0,42;45,42;58,0;72,42;115,42;81,68;94,110;58,84;21,110;36,68;0,42" o:connectangles="0,0,0,0,0,0,0,0,0,0,0"/>
                  </v:shape>
                  <v:shape id="Freeform 83" o:spid="_x0000_s1037" style="position:absolute;left:459;top:919;width:115;height:110;visibility:visible;mso-wrap-style:square;v-text-anchor:top" coordsize="115,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kg4sQA&#10;AADbAAAADwAAAGRycy9kb3ducmV2LnhtbERPTWvCQBC9F/wPywi9iG7SUpHoGqRiKSiFajx4G7Jj&#10;EszOptltkv77rlDobR7vc1bpYGrRUesqywriWQSCOLe64kJBdtpNFyCcR9ZYWyYFP+QgXY8eVpho&#10;2/MndUdfiBDCLkEFpfdNIqXLSzLoZrYhDtzVtgZ9gG0hdYt9CDe1fIqiuTRYcWgosaHXkvLb8dso&#10;2F8OW/7K5ORynvDzy9tHZPa3TKnH8bBZgvA0+H/xn/tdh/kx3H8J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5IOLEAAAA2wAAAA8AAAAAAAAAAAAAAAAAmAIAAGRycy9k&#10;b3ducmV2LnhtbFBLBQYAAAAABAAEAPUAAACJAwAAAAA=&#10;" path="m,42r43,l57,,70,42r45,l79,68r15,42l57,84,21,110,34,68,,42e" filled="f" strokeweight=".45pt">
                    <v:path arrowok="t" o:connecttype="custom" o:connectlocs="0,42;43,42;57,0;70,42;115,42;79,68;94,110;57,84;21,110;34,68;0,42" o:connectangles="0,0,0,0,0,0,0,0,0,0,0"/>
                  </v:shape>
                  <v:shape id="Freeform 84" o:spid="_x0000_s1038" style="position:absolute;left:414;top:751;width:115;height:109;visibility:visible;mso-wrap-style:square;v-text-anchor:top" coordsize="115,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7H8MQA&#10;AADbAAAADwAAAGRycy9kb3ducmV2LnhtbERP22rCQBB9L/Qflin4VjfVUkJ0DaFUFIQWL6B9m2an&#10;STA7G7JrTP6+WxB8m8O5zjztTS06al1lWcHLOAJBnFtdcaHgsF8+xyCcR9ZYWyYFAzlIF48Pc0y0&#10;vfKWup0vRAhhl6CC0vsmkdLlJRl0Y9sQB+7XtgZ9gG0hdYvXEG5qOYmiN2mw4tBQYkPvJeXn3cUo&#10;yH4+us1nvK3W0yEevs929XV6PSo1euqzGQhPvb+Lb+61DvMn8P9LOE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ex/DEAAAA2wAAAA8AAAAAAAAAAAAAAAAAmAIAAGRycy9k&#10;b3ducmV2LnhtbFBLBQYAAAAABAAEAPUAAACJAwAAAAA=&#10;" path="m,41r45,l59,,72,41r43,l81,67r13,42l59,83,23,109,36,67,,41e" filled="f" strokeweight=".45pt">
                    <v:path arrowok="t" o:connecttype="custom" o:connectlocs="0,41;45,41;59,0;72,41;115,41;81,67;94,109;59,83;23,109;36,67;0,41" o:connectangles="0,0,0,0,0,0,0,0,0,0,0"/>
                  </v:shape>
                  <v:shape id="Freeform 85" o:spid="_x0000_s1039" style="position:absolute;left:459;top:582;width:115;height:109;visibility:visible;mso-wrap-style:square;v-text-anchor:top" coordsize="115,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Jia8QA&#10;AADbAAAADwAAAGRycy9kb3ducmV2LnhtbERPTWvCQBC9C/0PyxR6001VJKSuIZRKBUHRFtreptlp&#10;EszOhuwak3/vCkJv83ifs0x7U4uOWldZVvA8iUAQ51ZXXCj4/FiPYxDOI2usLZOCgRykq4fREhNt&#10;L3yg7ugLEULYJaig9L5JpHR5SQbdxDbEgfuzrUEfYFtI3eIlhJtaTqNoIQ1WHBpKbOi1pPx0PBsF&#10;2e9bt93Fh2ozG+Lh52Tf99/zL6WeHvvsBYSn3v+L7+6NDvNncPslHC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SYmvEAAAA2wAAAA8AAAAAAAAAAAAAAAAAmAIAAGRycy9k&#10;b3ducmV2LnhtbFBLBQYAAAAABAAEAPUAAACJAwAAAAA=&#10;" path="m,42r43,l57,,70,42r45,l79,68r15,41l57,85,21,109,34,68,,42e" filled="f" strokeweight=".45pt">
                    <v:path arrowok="t" o:connecttype="custom" o:connectlocs="0,42;43,42;57,0;70,42;115,42;79,68;94,109;57,85;21,109;34,68;0,42" o:connectangles="0,0,0,0,0,0,0,0,0,0,0"/>
                  </v:shape>
                  <v:shape id="Freeform 86" o:spid="_x0000_s1040" style="position:absolute;left:583;top:458;width:115;height:110;visibility:visible;mso-wrap-style:square;v-text-anchor:top" coordsize="115,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6DesQA&#10;AADbAAAADwAAAGRycy9kb3ducmV2LnhtbERPS2vCQBC+F/wPyxS8SN34KiXNRsSiFBTBND14G7LT&#10;JJidTbOrpv++WxB6m4/vOcmyN424Uudqywom4wgEcWF1zaWC/GPz9ALCeWSNjWVS8EMOlungIcFY&#10;2xsf6Zr5UoQQdjEqqLxvYyldUZFBN7YtceC+bGfQB9iVUnd4C+GmkdMoepYGaw4NFba0rqg4Zxej&#10;YHfav/F3LkenzxHPFttDZHbnXKnhY796BeGp9//iu/tdh/lz+PslHC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Og3rEAAAA2wAAAA8AAAAAAAAAAAAAAAAAmAIAAGRycy9k&#10;b3ducmV2LnhtbFBLBQYAAAAABAAEAPUAAACJAwAAAAA=&#10;" path="m,42r45,l58,,72,42r43,l81,68r13,42l58,84,21,110,36,68,,42e" filled="f" strokeweight=".45pt">
                    <v:path arrowok="t" o:connecttype="custom" o:connectlocs="0,42;45,42;58,0;72,42;115,42;81,68;94,110;58,84;21,110;36,68;0,42" o:connectangles="0,0,0,0,0,0,0,0,0,0,0"/>
                  </v:shape>
                  <v:shape id="Freeform 87" o:spid="_x0000_s1041" style="position:absolute;left:752;top:413;width:115;height:111;visibility:visible;mso-wrap-style:square;v-text-anchor:top" coordsize="115,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b7EsMA&#10;AADbAAAADwAAAGRycy9kb3ducmV2LnhtbERPTWvCQBC9C/0PyxR6kbpRGrGpq2hAyMGLUUqPQ3aa&#10;RLOzIbvG9N93BcHbPN7nLNeDaURPnastK5hOIhDEhdU1lwpOx937AoTzyBoby6TgjxysVy+jJSba&#10;3vhAfe5LEULYJaig8r5NpHRFRQbdxLbEgfu1nUEfYFdK3eEthJtGzqJoLg3WHBoqbCmtqLjkV6Mg&#10;/k4X5ywef+4Op+31Y9yn+58sV+rtddh8gfA0+Kf44c50mB/D/Zdw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xb7EsMAAADbAAAADwAAAAAAAAAAAAAAAACYAgAAZHJzL2Rv&#10;d25yZXYueG1sUEsFBgAAAAAEAAQA9QAAAIgDAAAAAA==&#10;" path="m,42r44,l57,,70,42r45,l79,69r14,42l57,85,21,111,36,69,,42e" filled="f" strokeweight=".45pt">
                    <v:path arrowok="t" o:connecttype="custom" o:connectlocs="0,42;44,42;57,0;70,42;115,42;79,69;93,111;57,85;21,111;36,69;0,42" o:connectangles="0,0,0,0,0,0,0,0,0,0,0"/>
                  </v:shape>
                  <v:rect id="Rectangle 88" o:spid="_x0000_s1042" style="position:absolute;left:52;top:301;width:1515;height:10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qJuMMA&#10;AADbAAAADwAAAGRycy9kb3ducmV2LnhtbERPTWvCQBC9F/wPywi9lLqxlBBSV7GVknjw0LTF65Ad&#10;k5DsbMhuTfrvXUHwNo/3OavNZDpxpsE1lhUsFxEI4tLqhisFP9+fzwkI55E1dpZJwT852KxnDytM&#10;tR35i86Fr0QIYZeigtr7PpXSlTUZdAvbEwfuZAeDPsChknrAMYSbTr5EUSwNNhwaauzpo6ayLf6M&#10;ApPssmzfHvLyeHiKI37N+vffo1KP82n7BsLT5O/imzvXYX4M11/CAXJ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qJuMMAAADbAAAADwAAAAAAAAAAAAAAAACYAgAAZHJzL2Rv&#10;d25yZXYueG1sUEsFBgAAAAAEAAQA9QAAAIgDAAAAAA==&#10;" filled="f" strokeweight=".65pt"/>
                  <v:rect id="Rectangle 89" o:spid="_x0000_s1043" style="position:absolute;left:14;top:276;width:1590;height:10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LnP8IA&#10;AADbAAAADwAAAGRycy9kb3ducmV2LnhtbERPTWsCMRC9F/ofwgi9FM3qwZXVKFIo9VCRriIeh824&#10;WdxMliTq+u9NodDbPN7nLFa9bcWNfGgcKxiPMhDEldMN1woO+8/hDESIyBpbx6TgQQFWy9eXBRba&#10;3fmHbmWsRQrhUKACE2NXSBkqQxbDyHXEiTs7bzEm6GupPd5TuG3lJMum0mLDqcFgRx+Gqkt5tQoa&#10;M373k/K43m93+Xfemt3XaXZW6m3Qr+cgIvXxX/zn3ug0P4ffX9IB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Iuc/wgAAANsAAAAPAAAAAAAAAAAAAAAAAJgCAABkcnMvZG93&#10;bnJldi54bWxQSwUGAAAAAAQABAD1AAAAhwMAAAAA&#10;" filled="f" strokecolor="white" strokeweight="0"/>
                </v:group>
                <v:rect id="Rectangle 90" o:spid="_x0000_s1044" style="position:absolute;left:10172;top:7124;width:42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B24200" w:rsidRDefault="00B24200" w:rsidP="00630BD4">
                        <w:r>
                          <w:rPr>
                            <w:rFonts w:ascii="Arial" w:hAnsi="Arial" w:cs="Arial"/>
                            <w:color w:val="000000"/>
                            <w:lang w:val="en-US"/>
                          </w:rPr>
                          <w:t xml:space="preserve"> </w:t>
                        </w:r>
                      </w:p>
                    </w:txbxContent>
                  </v:textbox>
                </v:rect>
                <v:rect id="Rectangle 91" o:spid="_x0000_s1045" style="position:absolute;left:11614;top:1797;width:189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B24200" w:rsidRDefault="00B24200" w:rsidP="00630BD4">
                        <w:r>
                          <w:rPr>
                            <w:rFonts w:ascii="Arial" w:hAnsi="Arial" w:cs="Arial"/>
                            <w:color w:val="000000"/>
                            <w:lang w:val="en-US"/>
                          </w:rPr>
                          <w:t>EUROPEAN COMMISSION</w:t>
                        </w:r>
                      </w:p>
                    </w:txbxContent>
                  </v:textbox>
                </v:rect>
                <v:rect id="Rectangle 92" o:spid="_x0000_s1046" style="position:absolute;left:30607;top:1797;width:425;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B24200" w:rsidRDefault="00B24200" w:rsidP="00630BD4">
                        <w:r>
                          <w:rPr>
                            <w:rFonts w:ascii="Arial" w:hAnsi="Arial" w:cs="Arial"/>
                            <w:color w:val="000000"/>
                            <w:lang w:val="en-US"/>
                          </w:rPr>
                          <w:t xml:space="preserve"> </w:t>
                        </w:r>
                      </w:p>
                    </w:txbxContent>
                  </v:textbox>
                </v:rect>
                <v:rect id="Rectangle 93" o:spid="_x0000_s1047" style="position:absolute;left:57429;top:1797;width:425;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B24200" w:rsidRDefault="00B24200" w:rsidP="00630BD4">
                        <w:r>
                          <w:rPr>
                            <w:rFonts w:ascii="Arial" w:hAnsi="Arial" w:cs="Arial"/>
                            <w:color w:val="000000"/>
                            <w:lang w:val="en-US"/>
                          </w:rPr>
                          <w:t xml:space="preserve"> </w:t>
                        </w:r>
                      </w:p>
                    </w:txbxContent>
                  </v:textbox>
                </v:rect>
                <v:rect id="Rectangle 94" o:spid="_x0000_s1048" style="position:absolute;left:32497;top:10922;width:9233;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B24200" w:rsidRDefault="00B24200" w:rsidP="00630BD4">
                        <w:r>
                          <w:rPr>
                            <w:color w:val="000000"/>
                            <w:lang w:val="en-US"/>
                          </w:rPr>
                          <w:t>Brussels, XXX</w:t>
                        </w:r>
                      </w:p>
                    </w:txbxContent>
                  </v:textbox>
                </v:rect>
                <v:rect id="Rectangle 95" o:spid="_x0000_s1049" style="position:absolute;left:41719;top:10922;width:38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B24200" w:rsidRDefault="00B24200" w:rsidP="00630BD4">
                        <w:r>
                          <w:rPr>
                            <w:color w:val="000000"/>
                            <w:lang w:val="en-US"/>
                          </w:rPr>
                          <w:t xml:space="preserve"> </w:t>
                        </w:r>
                      </w:p>
                    </w:txbxContent>
                  </v:textbox>
                </v:rect>
                <v:rect id="Rectangle 96" o:spid="_x0000_s1050" style="position:absolute;left:32497;top:12674;width:254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B24200" w:rsidRDefault="00B24200" w:rsidP="00630BD4">
                        <w:r>
                          <w:rPr>
                            <w:color w:val="0000FF"/>
                            <w:lang w:val="en-US"/>
                          </w:rPr>
                          <w:t>[…]</w:t>
                        </w:r>
                      </w:p>
                    </w:txbxContent>
                  </v:textbox>
                </v:rect>
                <v:rect id="Rectangle 97" o:spid="_x0000_s1051" style="position:absolute;left:35061;top:12674;width:11005;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B24200" w:rsidRDefault="00B24200" w:rsidP="00630BD4">
                        <w:r>
                          <w:rPr>
                            <w:color w:val="000000"/>
                            <w:lang w:val="en-US"/>
                          </w:rPr>
                          <w:t>(2017) XXX draft</w:t>
                        </w:r>
                      </w:p>
                    </w:txbxContent>
                  </v:textbox>
                </v:rect>
                <v:rect id="Rectangle 98" o:spid="_x0000_s1052" style="position:absolute;left:46035;top:12674;width:38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B24200" w:rsidRDefault="00B24200" w:rsidP="00630BD4">
                        <w:r>
                          <w:rPr>
                            <w:color w:val="000000"/>
                            <w:lang w:val="en-US"/>
                          </w:rPr>
                          <w:t xml:space="preserve"> </w:t>
                        </w:r>
                      </w:p>
                    </w:txbxContent>
                  </v:textbox>
                </v:rect>
                <v:rect id="Rectangle 99" o:spid="_x0000_s1053" style="position:absolute;left:32497;top:17481;width:38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B24200" w:rsidRDefault="00B24200" w:rsidP="00630BD4">
                        <w:r>
                          <w:rPr>
                            <w:color w:val="000000"/>
                            <w:lang w:val="en-US"/>
                          </w:rPr>
                          <w:t xml:space="preserve"> </w:t>
                        </w:r>
                      </w:p>
                    </w:txbxContent>
                  </v:textbox>
                </v:rect>
                <v:rect id="Rectangle 100" o:spid="_x0000_s1054" style="position:absolute;left:32878;top:17481;width:38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B24200" w:rsidRDefault="00B24200" w:rsidP="00630BD4">
                        <w:r>
                          <w:rPr>
                            <w:color w:val="000000"/>
                            <w:lang w:val="en-US"/>
                          </w:rPr>
                          <w:t xml:space="preserve"> </w:t>
                        </w:r>
                      </w:p>
                    </w:txbxContent>
                  </v:textbox>
                </v:rect>
                <v:rect id="Rectangle 101" o:spid="_x0000_s1055" style="position:absolute;left:7385;top:23050;width:40944;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B24200" w:rsidRDefault="00B24200" w:rsidP="00630BD4">
                        <w:r>
                          <w:rPr>
                            <w:b/>
                            <w:bCs/>
                            <w:color w:val="000000"/>
                            <w:lang w:val="en-US"/>
                          </w:rPr>
                          <w:t>COMMISSION IMPLEMENTING REGULATION (EU</w:t>
                        </w:r>
                        <w:proofErr w:type="gramStart"/>
                        <w:r>
                          <w:rPr>
                            <w:b/>
                            <w:bCs/>
                            <w:color w:val="000000"/>
                            <w:lang w:val="en-US"/>
                          </w:rPr>
                          <w:t>)  …</w:t>
                        </w:r>
                        <w:proofErr w:type="gramEnd"/>
                        <w:r>
                          <w:rPr>
                            <w:b/>
                            <w:bCs/>
                            <w:color w:val="000000"/>
                            <w:lang w:val="en-US"/>
                          </w:rPr>
                          <w:t>/..</w:t>
                        </w:r>
                      </w:p>
                    </w:txbxContent>
                  </v:textbox>
                </v:rect>
                <v:rect id="Rectangle 102" o:spid="_x0000_s1056" style="position:absolute;left:50298;top:23050;width:38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B24200" w:rsidRDefault="00B24200" w:rsidP="00630BD4">
                        <w:r>
                          <w:rPr>
                            <w:b/>
                            <w:bCs/>
                            <w:color w:val="000000"/>
                            <w:lang w:val="en-US"/>
                          </w:rPr>
                          <w:t xml:space="preserve"> </w:t>
                        </w:r>
                      </w:p>
                    </w:txbxContent>
                  </v:textbox>
                </v:rect>
                <v:rect id="Rectangle 103" o:spid="_x0000_s1057" style="position:absolute;left:26414;top:27095;width:34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B24200" w:rsidRDefault="00B24200" w:rsidP="00630BD4">
                        <w:proofErr w:type="gramStart"/>
                        <w:r>
                          <w:rPr>
                            <w:b/>
                            <w:bCs/>
                            <w:color w:val="000000"/>
                            <w:lang w:val="en-US"/>
                          </w:rPr>
                          <w:t>of</w:t>
                        </w:r>
                        <w:proofErr w:type="gramEnd"/>
                        <w:r>
                          <w:rPr>
                            <w:b/>
                            <w:bCs/>
                            <w:color w:val="000000"/>
                            <w:lang w:val="en-US"/>
                          </w:rPr>
                          <w:t xml:space="preserve"> [  ]</w:t>
                        </w:r>
                      </w:p>
                    </w:txbxContent>
                  </v:textbox>
                </v:rect>
                <v:rect id="Rectangle 104" o:spid="_x0000_s1058" style="position:absolute;left:31365;top:27095;width:38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B24200" w:rsidRDefault="00B24200" w:rsidP="00630BD4">
                        <w:r>
                          <w:rPr>
                            <w:b/>
                            <w:bCs/>
                            <w:color w:val="000000"/>
                            <w:lang w:val="en-US"/>
                          </w:rPr>
                          <w:t xml:space="preserve"> </w:t>
                        </w:r>
                      </w:p>
                    </w:txbxContent>
                  </v:textbox>
                </v:rect>
                <v:rect id="Rectangle 105" o:spid="_x0000_s1059" style="position:absolute;left:28091;top:31134;width:38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B24200" w:rsidRDefault="00B24200" w:rsidP="00630BD4">
                        <w:r>
                          <w:rPr>
                            <w:b/>
                            <w:bCs/>
                            <w:color w:val="000000"/>
                            <w:lang w:val="en-US"/>
                          </w:rPr>
                          <w:t xml:space="preserve"> </w:t>
                        </w:r>
                      </w:p>
                    </w:txbxContent>
                  </v:textbox>
                </v:rect>
                <v:rect id="Rectangle 106" o:spid="_x0000_s1060" style="position:absolute;left:30090;top:31134;width:38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B24200" w:rsidRDefault="00B24200" w:rsidP="00630BD4">
                        <w:r>
                          <w:rPr>
                            <w:b/>
                            <w:bCs/>
                            <w:color w:val="000000"/>
                            <w:lang w:val="en-US"/>
                          </w:rPr>
                          <w:t xml:space="preserve"> </w:t>
                        </w:r>
                      </w:p>
                    </w:txbxContent>
                  </v:textbox>
                </v:rect>
                <w10:anchorlock/>
              </v:group>
            </w:pict>
          </mc:Fallback>
        </mc:AlternateContent>
      </w:r>
    </w:p>
    <w:p w:rsidR="00884E5E" w:rsidRPr="00884E5E" w:rsidRDefault="00884E5E" w:rsidP="00884E5E">
      <w:pPr>
        <w:rPr>
          <w:lang w:eastAsia="en-US"/>
        </w:rPr>
      </w:pPr>
    </w:p>
    <w:bookmarkEnd w:id="2"/>
    <w:p w:rsidR="00884E5E" w:rsidRPr="00884E5E" w:rsidRDefault="00884E5E" w:rsidP="00884E5E">
      <w:pPr>
        <w:pStyle w:val="TOCHeading"/>
        <w:pageBreakBefore/>
        <w:rPr>
          <w:noProof/>
          <w:lang w:val="en-GB"/>
        </w:rPr>
      </w:pPr>
    </w:p>
    <w:p w:rsidR="00884E5E" w:rsidRPr="0003733C" w:rsidRDefault="00884E5E" w:rsidP="00884E5E">
      <w:pPr>
        <w:spacing w:before="360"/>
        <w:jc w:val="center"/>
        <w:rPr>
          <w:b/>
          <w:lang w:eastAsia="de-DE"/>
        </w:rPr>
      </w:pPr>
      <w:r w:rsidRPr="0003733C">
        <w:rPr>
          <w:b/>
          <w:lang w:eastAsia="de-DE"/>
        </w:rPr>
        <w:t xml:space="preserve">COMMISSION IMPLEMENTING REGULATION (EU) …/... of XXX amending </w:t>
      </w:r>
      <w:r w:rsidR="00005083">
        <w:rPr>
          <w:b/>
          <w:lang w:eastAsia="de-DE"/>
        </w:rPr>
        <w:t xml:space="preserve">and correcting </w:t>
      </w:r>
      <w:r w:rsidRPr="0003733C">
        <w:rPr>
          <w:b/>
          <w:lang w:eastAsia="de-DE"/>
        </w:rPr>
        <w:t xml:space="preserve">Implementing Regulation </w:t>
      </w:r>
      <w:r w:rsidRPr="006833BE">
        <w:rPr>
          <w:b/>
          <w:lang w:eastAsia="de-DE"/>
        </w:rPr>
        <w:t>(EU) 2015/245</w:t>
      </w:r>
      <w:r>
        <w:rPr>
          <w:b/>
          <w:lang w:eastAsia="de-DE"/>
        </w:rPr>
        <w:t>2</w:t>
      </w:r>
      <w:r w:rsidRPr="006833BE">
        <w:rPr>
          <w:b/>
          <w:lang w:eastAsia="de-DE"/>
        </w:rPr>
        <w:t xml:space="preserve"> </w:t>
      </w:r>
      <w:r w:rsidRPr="00884E5E">
        <w:rPr>
          <w:b/>
          <w:bCs/>
          <w:lang w:eastAsia="de-DE"/>
        </w:rPr>
        <w:t>laying down implementing technical standards with regard to the procedures, formats and templates of the solvency and financial condition report</w:t>
      </w:r>
      <w:r w:rsidRPr="0003733C">
        <w:rPr>
          <w:b/>
          <w:lang w:eastAsia="de-DE"/>
        </w:rPr>
        <w:t xml:space="preserve"> according to Directive 2009/138/EC of the European Parliament and of the Council</w:t>
      </w:r>
    </w:p>
    <w:p w:rsidR="00884E5E" w:rsidRPr="00884E5E" w:rsidRDefault="00884E5E" w:rsidP="00216DB3">
      <w:pPr>
        <w:keepNext/>
        <w:spacing w:before="600" w:line="360" w:lineRule="auto"/>
        <w:jc w:val="both"/>
        <w:rPr>
          <w:lang w:eastAsia="de-DE"/>
        </w:rPr>
      </w:pPr>
      <w:r w:rsidRPr="00884E5E">
        <w:rPr>
          <w:lang w:eastAsia="de-DE"/>
        </w:rPr>
        <w:t>THE EUROPEAN COMMISSION,</w:t>
      </w:r>
    </w:p>
    <w:p w:rsidR="00884E5E" w:rsidRPr="00884E5E" w:rsidRDefault="00884E5E" w:rsidP="00216DB3">
      <w:pPr>
        <w:spacing w:line="360" w:lineRule="auto"/>
        <w:jc w:val="both"/>
      </w:pPr>
      <w:r w:rsidRPr="00884E5E">
        <w:rPr>
          <w:color w:val="000000"/>
        </w:rPr>
        <w:t>Having regard to the Treaty on the Functioning of the European Union</w:t>
      </w:r>
      <w:r w:rsidRPr="00884E5E">
        <w:t>,</w:t>
      </w:r>
    </w:p>
    <w:p w:rsidR="00884E5E" w:rsidRPr="00884E5E" w:rsidRDefault="00884E5E" w:rsidP="00216DB3">
      <w:pPr>
        <w:spacing w:line="360" w:lineRule="auto"/>
        <w:jc w:val="both"/>
        <w:rPr>
          <w:color w:val="000000"/>
        </w:rPr>
      </w:pPr>
      <w:r w:rsidRPr="00884E5E">
        <w:rPr>
          <w:color w:val="000000"/>
        </w:rPr>
        <w:t>Having regard to Directive 2009/138/EC of 25 November 2009 of the European Parliament and of the Council on the taking up and pursuit of the business of Insurance and Reinsurance (Solvency II)</w:t>
      </w:r>
      <w:r w:rsidRPr="00D55A83">
        <w:rPr>
          <w:rStyle w:val="FootnoteReference"/>
          <w:noProof/>
          <w:lang w:eastAsia="de-DE"/>
        </w:rPr>
        <w:footnoteReference w:id="2"/>
      </w:r>
      <w:r w:rsidRPr="00884E5E">
        <w:rPr>
          <w:color w:val="000000"/>
        </w:rPr>
        <w:t xml:space="preserve">, and in particular the fourth paragraph of </w:t>
      </w:r>
      <w:r w:rsidRPr="008C3EBC">
        <w:rPr>
          <w:color w:val="000000"/>
        </w:rPr>
        <w:t>Article 56 and Article 256(5)</w:t>
      </w:r>
      <w:r w:rsidRPr="00884E5E">
        <w:rPr>
          <w:color w:val="000000"/>
        </w:rPr>
        <w:t xml:space="preserve"> thereof</w:t>
      </w:r>
      <w:r w:rsidRPr="008C3EBC">
        <w:rPr>
          <w:color w:val="000000"/>
        </w:rPr>
        <w:t>,</w:t>
      </w:r>
    </w:p>
    <w:p w:rsidR="00884E5E" w:rsidRPr="00884E5E" w:rsidRDefault="00884E5E" w:rsidP="00216DB3">
      <w:pPr>
        <w:spacing w:line="360" w:lineRule="auto"/>
        <w:jc w:val="both"/>
      </w:pPr>
      <w:r w:rsidRPr="00884E5E">
        <w:t>Whereas:</w:t>
      </w:r>
    </w:p>
    <w:p w:rsidR="00884E5E" w:rsidRPr="00216DB3" w:rsidRDefault="001702B8" w:rsidP="00216DB3">
      <w:pPr>
        <w:pStyle w:val="ConsultationItalic"/>
        <w:jc w:val="both"/>
        <w:rPr>
          <w:i w:val="0"/>
        </w:rPr>
      </w:pPr>
      <w:r w:rsidRPr="00216DB3">
        <w:rPr>
          <w:i w:val="0"/>
        </w:rPr>
        <w:t xml:space="preserve">This Regulation includes amendments in order to facilitate consistent disclosure and to improve the quality of the information reported. </w:t>
      </w:r>
      <w:r w:rsidR="00884E5E" w:rsidRPr="00216DB3">
        <w:rPr>
          <w:i w:val="0"/>
        </w:rPr>
        <w:t>Commission Implementing Regulation (EU) 2015/245</w:t>
      </w:r>
      <w:r w:rsidR="00B40966" w:rsidRPr="00216DB3">
        <w:rPr>
          <w:i w:val="0"/>
        </w:rPr>
        <w:t>2</w:t>
      </w:r>
      <w:r w:rsidR="00884E5E" w:rsidRPr="00216DB3">
        <w:rPr>
          <w:i w:val="0"/>
        </w:rPr>
        <w:t xml:space="preserve"> includes several minor drafting </w:t>
      </w:r>
      <w:r w:rsidR="00B40966" w:rsidRPr="00216DB3">
        <w:rPr>
          <w:i w:val="0"/>
        </w:rPr>
        <w:t>errors, which</w:t>
      </w:r>
      <w:r w:rsidR="00884E5E" w:rsidRPr="00216DB3">
        <w:rPr>
          <w:i w:val="0"/>
        </w:rPr>
        <w:t xml:space="preserve"> should be </w:t>
      </w:r>
      <w:r w:rsidR="0021625D" w:rsidRPr="00216DB3">
        <w:rPr>
          <w:i w:val="0"/>
        </w:rPr>
        <w:t xml:space="preserve">corrected </w:t>
      </w:r>
      <w:r w:rsidR="00884E5E" w:rsidRPr="00216DB3">
        <w:rPr>
          <w:i w:val="0"/>
        </w:rPr>
        <w:t xml:space="preserve">accordingly. </w:t>
      </w:r>
    </w:p>
    <w:p w:rsidR="00884E5E" w:rsidRPr="00216DB3" w:rsidRDefault="00884E5E" w:rsidP="00216DB3">
      <w:pPr>
        <w:pStyle w:val="ConsultationItalic"/>
        <w:jc w:val="both"/>
        <w:rPr>
          <w:i w:val="0"/>
        </w:rPr>
      </w:pPr>
      <w:r w:rsidRPr="00216DB3" w:rsidDel="002030C1">
        <w:rPr>
          <w:i w:val="0"/>
        </w:rPr>
        <w:t>The European Supervisory Authority (European Insurance and Occupational Pensions Authority) has conducted open public consultations on the draft implementing technical standards on which this Regulation is based, analysed the potential related costs and benefits and requested the opinion of the Insurance and Reinsurance Stakeholder Group established by Article 37 of Regulation (EU) No 1094/2010</w:t>
      </w:r>
      <w:r w:rsidRPr="00216DB3" w:rsidDel="002030C1">
        <w:rPr>
          <w:rStyle w:val="FootnoteReference"/>
          <w:i w:val="0"/>
        </w:rPr>
        <w:footnoteReference w:id="3"/>
      </w:r>
      <w:r w:rsidR="00D014B9" w:rsidRPr="00216DB3" w:rsidDel="002030C1">
        <w:rPr>
          <w:i w:val="0"/>
        </w:rPr>
        <w:t>,</w:t>
      </w:r>
      <w:r w:rsidRPr="00216DB3" w:rsidDel="002030C1">
        <w:rPr>
          <w:i w:val="0"/>
        </w:rPr>
        <w:t xml:space="preserve"> </w:t>
      </w:r>
      <w:r w:rsidR="0013433A" w:rsidRPr="00216DB3">
        <w:rPr>
          <w:i w:val="0"/>
        </w:rPr>
        <w:t xml:space="preserve">This Regulation is based on the draft implementing technical standards submitted by the European Supervisory Authority (European Insurance and Occupational Pensions Authority) to the Commission. </w:t>
      </w:r>
    </w:p>
    <w:p w:rsidR="00884E5E" w:rsidRPr="00884E5E" w:rsidRDefault="00884E5E" w:rsidP="00216DB3">
      <w:pPr>
        <w:pStyle w:val="ConsultationItalic"/>
        <w:numPr>
          <w:ilvl w:val="0"/>
          <w:numId w:val="0"/>
        </w:numPr>
        <w:jc w:val="both"/>
      </w:pPr>
    </w:p>
    <w:p w:rsidR="00884E5E" w:rsidRPr="008C3EBC" w:rsidRDefault="00884E5E" w:rsidP="00216DB3">
      <w:pPr>
        <w:pStyle w:val="ConsultationItalic"/>
        <w:numPr>
          <w:ilvl w:val="0"/>
          <w:numId w:val="0"/>
        </w:numPr>
        <w:jc w:val="both"/>
        <w:rPr>
          <w:i w:val="0"/>
        </w:rPr>
      </w:pPr>
      <w:r w:rsidRPr="008C3EBC">
        <w:rPr>
          <w:i w:val="0"/>
        </w:rPr>
        <w:t>HAS ADOPTED THIS REGULATION:</w:t>
      </w:r>
    </w:p>
    <w:p w:rsidR="00182971" w:rsidRPr="00F23F46" w:rsidRDefault="00884E5E" w:rsidP="00884E5E">
      <w:pPr>
        <w:pStyle w:val="ti-art"/>
        <w:shd w:val="clear" w:color="auto" w:fill="FFFFFF"/>
        <w:spacing w:before="360" w:beforeAutospacing="0" w:after="120" w:afterAutospacing="0" w:line="312" w:lineRule="atLeast"/>
        <w:jc w:val="center"/>
        <w:textAlignment w:val="baseline"/>
        <w:rPr>
          <w:i/>
          <w:iCs/>
        </w:rPr>
      </w:pPr>
      <w:r w:rsidRPr="00F23F46" w:rsidDel="00182971">
        <w:rPr>
          <w:i/>
          <w:iCs/>
        </w:rPr>
        <w:t xml:space="preserve"> </w:t>
      </w:r>
      <w:r w:rsidR="00182971" w:rsidRPr="00F23F46">
        <w:rPr>
          <w:i/>
          <w:iCs/>
        </w:rPr>
        <w:t xml:space="preserve">Article </w:t>
      </w:r>
      <w:r w:rsidRPr="00F23F46">
        <w:rPr>
          <w:i/>
          <w:iCs/>
        </w:rPr>
        <w:t>1</w:t>
      </w:r>
    </w:p>
    <w:p w:rsidR="00A3003B" w:rsidRPr="00A3003B" w:rsidRDefault="00A3003B" w:rsidP="00A3003B">
      <w:pPr>
        <w:pStyle w:val="sti-art"/>
        <w:ind w:left="2880" w:firstLine="720"/>
        <w:rPr>
          <w:b/>
          <w:bCs/>
        </w:rPr>
      </w:pPr>
      <w:r w:rsidRPr="00A3003B">
        <w:rPr>
          <w:b/>
          <w:bCs/>
        </w:rPr>
        <w:t>Amending provisions</w:t>
      </w:r>
    </w:p>
    <w:p w:rsidR="00A3003B" w:rsidRPr="00A3003B" w:rsidRDefault="008B432F" w:rsidP="00A3003B">
      <w:pPr>
        <w:pStyle w:val="sti-art"/>
        <w:spacing w:before="60" w:after="120"/>
        <w:jc w:val="both"/>
        <w:rPr>
          <w:bCs/>
        </w:rPr>
      </w:pPr>
      <w:r>
        <w:rPr>
          <w:bCs/>
        </w:rPr>
        <w:t xml:space="preserve">Annexes II and III to </w:t>
      </w:r>
      <w:r w:rsidR="00A3003B" w:rsidRPr="00A3003B">
        <w:rPr>
          <w:bCs/>
        </w:rPr>
        <w:t>Implementing Regulation (EU) 2015/245</w:t>
      </w:r>
      <w:r w:rsidR="00A3003B">
        <w:rPr>
          <w:bCs/>
        </w:rPr>
        <w:t>2</w:t>
      </w:r>
      <w:r w:rsidR="00A3003B" w:rsidRPr="00A3003B">
        <w:rPr>
          <w:bCs/>
        </w:rPr>
        <w:t xml:space="preserve"> </w:t>
      </w:r>
      <w:r>
        <w:rPr>
          <w:bCs/>
        </w:rPr>
        <w:t>are</w:t>
      </w:r>
      <w:r w:rsidR="00A3003B" w:rsidRPr="00A3003B">
        <w:rPr>
          <w:bCs/>
        </w:rPr>
        <w:t xml:space="preserve"> amended in accordance with Annex I to this Regulation.</w:t>
      </w:r>
    </w:p>
    <w:p w:rsidR="00A3003B" w:rsidRDefault="00A3003B" w:rsidP="00182971">
      <w:pPr>
        <w:pStyle w:val="sti-art"/>
        <w:shd w:val="clear" w:color="auto" w:fill="FFFFFF"/>
        <w:spacing w:before="60" w:beforeAutospacing="0" w:after="120" w:afterAutospacing="0" w:line="312" w:lineRule="atLeast"/>
        <w:jc w:val="center"/>
        <w:textAlignment w:val="baseline"/>
        <w:rPr>
          <w:b/>
          <w:bCs/>
        </w:rPr>
      </w:pPr>
    </w:p>
    <w:p w:rsidR="00A3003B" w:rsidRPr="00A3003B" w:rsidRDefault="00A3003B" w:rsidP="00182971">
      <w:pPr>
        <w:pStyle w:val="sti-art"/>
        <w:shd w:val="clear" w:color="auto" w:fill="FFFFFF"/>
        <w:spacing w:before="60" w:beforeAutospacing="0" w:after="120" w:afterAutospacing="0" w:line="312" w:lineRule="atLeast"/>
        <w:jc w:val="center"/>
        <w:textAlignment w:val="baseline"/>
        <w:rPr>
          <w:bCs/>
          <w:i/>
        </w:rPr>
      </w:pPr>
      <w:r w:rsidRPr="00A3003B">
        <w:rPr>
          <w:bCs/>
          <w:i/>
        </w:rPr>
        <w:t>Article 2</w:t>
      </w:r>
    </w:p>
    <w:p w:rsidR="00182971" w:rsidRPr="00F23F46" w:rsidRDefault="00182971" w:rsidP="00182971">
      <w:pPr>
        <w:pStyle w:val="sti-art"/>
        <w:shd w:val="clear" w:color="auto" w:fill="FFFFFF"/>
        <w:spacing w:before="60" w:beforeAutospacing="0" w:after="120" w:afterAutospacing="0" w:line="312" w:lineRule="atLeast"/>
        <w:jc w:val="center"/>
        <w:textAlignment w:val="baseline"/>
        <w:rPr>
          <w:b/>
          <w:bCs/>
        </w:rPr>
      </w:pPr>
      <w:r w:rsidRPr="00F23F46">
        <w:rPr>
          <w:b/>
          <w:bCs/>
        </w:rPr>
        <w:t>Correcting provisions</w:t>
      </w:r>
    </w:p>
    <w:p w:rsidR="00182971" w:rsidRPr="00F23F46" w:rsidRDefault="008B432F" w:rsidP="00866A10">
      <w:pPr>
        <w:pStyle w:val="Normal1"/>
        <w:shd w:val="clear" w:color="auto" w:fill="FFFFFF"/>
        <w:spacing w:before="120" w:beforeAutospacing="0" w:after="0" w:afterAutospacing="0" w:line="312" w:lineRule="atLeast"/>
        <w:jc w:val="both"/>
        <w:textAlignment w:val="baseline"/>
      </w:pPr>
      <w:r>
        <w:t xml:space="preserve">Annexes I, II and III to </w:t>
      </w:r>
      <w:r w:rsidR="00182971" w:rsidRPr="00F23F46">
        <w:t>Implementing Regulation (EU) 2015/245</w:t>
      </w:r>
      <w:r w:rsidR="00884E5E" w:rsidRPr="00F23F46">
        <w:t>2</w:t>
      </w:r>
      <w:r w:rsidR="00182971" w:rsidRPr="00F23F46">
        <w:t xml:space="preserve"> </w:t>
      </w:r>
      <w:proofErr w:type="gramStart"/>
      <w:r>
        <w:t>are</w:t>
      </w:r>
      <w:r w:rsidR="00182971" w:rsidRPr="00F23F46">
        <w:t xml:space="preserve"> corrected</w:t>
      </w:r>
      <w:proofErr w:type="gramEnd"/>
      <w:r w:rsidR="00182971" w:rsidRPr="00F23F46">
        <w:t xml:space="preserve"> in accordance with Annex </w:t>
      </w:r>
      <w:r w:rsidR="00884E5E" w:rsidRPr="00F23F46">
        <w:t>I</w:t>
      </w:r>
      <w:r w:rsidR="00A3003B">
        <w:t>I</w:t>
      </w:r>
      <w:r w:rsidR="00182971" w:rsidRPr="00F23F46">
        <w:t xml:space="preserve"> to this Regulation.</w:t>
      </w:r>
    </w:p>
    <w:p w:rsidR="00182971" w:rsidRPr="00F23F46" w:rsidRDefault="00884E5E" w:rsidP="00182971">
      <w:pPr>
        <w:pStyle w:val="ti-art"/>
        <w:shd w:val="clear" w:color="auto" w:fill="FFFFFF"/>
        <w:spacing w:before="360" w:beforeAutospacing="0" w:after="120" w:afterAutospacing="0" w:line="312" w:lineRule="atLeast"/>
        <w:jc w:val="center"/>
        <w:textAlignment w:val="baseline"/>
        <w:rPr>
          <w:i/>
          <w:iCs/>
        </w:rPr>
      </w:pPr>
      <w:r w:rsidRPr="00F23F46">
        <w:rPr>
          <w:i/>
          <w:iCs/>
        </w:rPr>
        <w:t>A</w:t>
      </w:r>
      <w:r w:rsidR="00182971" w:rsidRPr="00F23F46">
        <w:rPr>
          <w:i/>
          <w:iCs/>
        </w:rPr>
        <w:t xml:space="preserve">rticle </w:t>
      </w:r>
      <w:r w:rsidR="00A3003B">
        <w:rPr>
          <w:i/>
          <w:iCs/>
        </w:rPr>
        <w:t>3</w:t>
      </w:r>
    </w:p>
    <w:p w:rsidR="00182971" w:rsidRPr="00F23F46" w:rsidRDefault="00182971" w:rsidP="00182971">
      <w:pPr>
        <w:pStyle w:val="sti-art"/>
        <w:shd w:val="clear" w:color="auto" w:fill="FFFFFF"/>
        <w:spacing w:before="60" w:beforeAutospacing="0" w:after="120" w:afterAutospacing="0" w:line="312" w:lineRule="atLeast"/>
        <w:jc w:val="center"/>
        <w:textAlignment w:val="baseline"/>
        <w:rPr>
          <w:b/>
          <w:bCs/>
        </w:rPr>
      </w:pPr>
      <w:r w:rsidRPr="00F23F46">
        <w:rPr>
          <w:b/>
          <w:bCs/>
        </w:rPr>
        <w:t>Entry into force</w:t>
      </w:r>
    </w:p>
    <w:p w:rsidR="00182971" w:rsidRPr="00F23F46" w:rsidRDefault="00182971" w:rsidP="00866A10">
      <w:pPr>
        <w:pStyle w:val="Normal1"/>
        <w:shd w:val="clear" w:color="auto" w:fill="FFFFFF"/>
        <w:spacing w:before="0" w:beforeAutospacing="0" w:after="0" w:afterAutospacing="0" w:line="312" w:lineRule="atLeast"/>
        <w:jc w:val="both"/>
        <w:textAlignment w:val="baseline"/>
      </w:pPr>
      <w:r w:rsidRPr="00F23F46">
        <w:t>This Regulation shall enter into force on the twentieth day following that of its publication in the</w:t>
      </w:r>
      <w:r w:rsidRPr="00F23F46">
        <w:rPr>
          <w:rStyle w:val="apple-converted-space"/>
          <w:rFonts w:eastAsia="Calibri"/>
        </w:rPr>
        <w:t> </w:t>
      </w:r>
      <w:r w:rsidRPr="00F23F46">
        <w:rPr>
          <w:rStyle w:val="italic"/>
          <w:i/>
          <w:iCs/>
          <w:bdr w:val="none" w:sz="0" w:space="0" w:color="auto" w:frame="1"/>
        </w:rPr>
        <w:t>Official Journal of the European Union</w:t>
      </w:r>
      <w:r w:rsidRPr="00F23F46">
        <w:t>.</w:t>
      </w:r>
    </w:p>
    <w:p w:rsidR="00B40966" w:rsidRPr="00F23F46" w:rsidRDefault="00B40966" w:rsidP="00A36CBF">
      <w:pPr>
        <w:pStyle w:val="Normal1"/>
        <w:shd w:val="clear" w:color="auto" w:fill="FFFFFF"/>
        <w:spacing w:before="120" w:beforeAutospacing="0" w:after="0" w:afterAutospacing="0" w:line="312" w:lineRule="atLeast"/>
        <w:jc w:val="both"/>
        <w:textAlignment w:val="baseline"/>
      </w:pPr>
    </w:p>
    <w:p w:rsidR="00182971" w:rsidRPr="00F23F46" w:rsidRDefault="00182971" w:rsidP="00A36CBF">
      <w:pPr>
        <w:pStyle w:val="Normal1"/>
        <w:shd w:val="clear" w:color="auto" w:fill="FFFFFF"/>
        <w:spacing w:before="120" w:beforeAutospacing="0" w:after="0" w:afterAutospacing="0" w:line="312" w:lineRule="atLeast"/>
        <w:jc w:val="both"/>
        <w:textAlignment w:val="baseline"/>
      </w:pPr>
      <w:r w:rsidRPr="00F23F46">
        <w:t>This Regulation shall be binding in its entirety and directly applicable in all Member States.</w:t>
      </w:r>
    </w:p>
    <w:p w:rsidR="00182971" w:rsidRPr="00F23F46" w:rsidRDefault="00182971" w:rsidP="00A36CBF">
      <w:pPr>
        <w:pStyle w:val="Normal1"/>
        <w:shd w:val="clear" w:color="auto" w:fill="FFFFFF"/>
        <w:spacing w:before="120" w:beforeAutospacing="0" w:after="0" w:afterAutospacing="0" w:line="312" w:lineRule="atLeast"/>
        <w:jc w:val="both"/>
        <w:textAlignment w:val="baseline"/>
      </w:pPr>
      <w:r w:rsidRPr="00F23F46">
        <w:t>Done at Brussels</w:t>
      </w:r>
      <w:proofErr w:type="gramStart"/>
      <w:r w:rsidRPr="00F23F46">
        <w:t>,</w:t>
      </w:r>
      <w:r w:rsidR="00884E5E" w:rsidRPr="00F23F46">
        <w:t>[</w:t>
      </w:r>
      <w:proofErr w:type="gramEnd"/>
      <w:r w:rsidR="00884E5E" w:rsidRPr="00F23F46">
        <w:t>]</w:t>
      </w:r>
      <w:r w:rsidRPr="00F23F46">
        <w:t>.</w:t>
      </w:r>
    </w:p>
    <w:p w:rsidR="00B40966" w:rsidRPr="00F23F46" w:rsidRDefault="00B40966">
      <w:pPr>
        <w:spacing w:after="200" w:line="276" w:lineRule="auto"/>
      </w:pPr>
      <w:r w:rsidRPr="00F23F46">
        <w:br w:type="page"/>
      </w:r>
    </w:p>
    <w:p w:rsidR="0003733C" w:rsidRPr="003D2514" w:rsidRDefault="0003733C" w:rsidP="0003733C">
      <w:pPr>
        <w:rPr>
          <w:b/>
          <w:noProof/>
          <w:color w:val="000000"/>
          <w:u w:val="single"/>
        </w:rPr>
      </w:pPr>
    </w:p>
    <w:p w:rsidR="00AA72D8" w:rsidRPr="00503BEA" w:rsidRDefault="00503BEA" w:rsidP="00503BEA">
      <w:pPr>
        <w:spacing w:after="200" w:line="276" w:lineRule="auto"/>
        <w:jc w:val="center"/>
        <w:rPr>
          <w:b/>
          <w:noProof/>
          <w:u w:val="single"/>
        </w:rPr>
      </w:pPr>
      <w:r w:rsidRPr="00503BEA">
        <w:rPr>
          <w:b/>
          <w:noProof/>
          <w:u w:val="single"/>
        </w:rPr>
        <w:t>ANNEX I</w:t>
      </w:r>
    </w:p>
    <w:p w:rsidR="00503BEA" w:rsidRPr="00503BEA" w:rsidRDefault="00503BEA" w:rsidP="00503BEA">
      <w:pPr>
        <w:spacing w:after="200" w:line="276" w:lineRule="auto"/>
        <w:rPr>
          <w:noProof/>
        </w:rPr>
      </w:pPr>
    </w:p>
    <w:p w:rsidR="00503BEA" w:rsidRPr="00503BEA" w:rsidRDefault="00503BEA" w:rsidP="008C3EBC">
      <w:pPr>
        <w:pStyle w:val="ListParagraph"/>
        <w:numPr>
          <w:ilvl w:val="0"/>
          <w:numId w:val="151"/>
        </w:numPr>
        <w:ind w:left="709"/>
        <w:rPr>
          <w:rFonts w:ascii="Times New Roman" w:eastAsia="Times New Roman" w:hAnsi="Times New Roman"/>
          <w:noProof/>
          <w:sz w:val="24"/>
          <w:lang w:val="en-GB" w:eastAsia="en-GB"/>
        </w:rPr>
      </w:pPr>
      <w:r w:rsidRPr="00503BEA">
        <w:rPr>
          <w:rFonts w:ascii="Times New Roman" w:eastAsia="Times New Roman" w:hAnsi="Times New Roman"/>
          <w:noProof/>
          <w:sz w:val="24"/>
          <w:lang w:val="en-GB" w:eastAsia="en-GB"/>
        </w:rPr>
        <w:t xml:space="preserve">Both Annex II and III to Implementing Regulation (EU) 2015/2452 are </w:t>
      </w:r>
      <w:r>
        <w:rPr>
          <w:rFonts w:ascii="Times New Roman" w:eastAsia="Times New Roman" w:hAnsi="Times New Roman"/>
          <w:noProof/>
          <w:sz w:val="24"/>
          <w:lang w:val="en-GB" w:eastAsia="en-GB"/>
        </w:rPr>
        <w:t>amended</w:t>
      </w:r>
      <w:r w:rsidRPr="00503BEA">
        <w:rPr>
          <w:rFonts w:ascii="Times New Roman" w:eastAsia="Times New Roman" w:hAnsi="Times New Roman"/>
          <w:noProof/>
          <w:sz w:val="24"/>
          <w:lang w:val="en-GB" w:eastAsia="en-GB"/>
        </w:rPr>
        <w:t xml:space="preserve"> as follows:</w:t>
      </w:r>
    </w:p>
    <w:p w:rsidR="00E8408B" w:rsidRDefault="00E8408B" w:rsidP="00E8408B">
      <w:pPr>
        <w:pStyle w:val="ListParagraph"/>
        <w:rPr>
          <w:rFonts w:ascii="Times New Roman" w:hAnsi="Times New Roman"/>
          <w:noProof/>
          <w:color w:val="000000"/>
          <w:sz w:val="24"/>
          <w:highlight w:val="yellow"/>
          <w:lang w:val="en-GB"/>
        </w:rPr>
      </w:pPr>
    </w:p>
    <w:p w:rsidR="00E8408B" w:rsidRPr="00E8408B" w:rsidRDefault="00E8408B" w:rsidP="00E8408B">
      <w:pPr>
        <w:pStyle w:val="ListParagraph"/>
        <w:numPr>
          <w:ilvl w:val="0"/>
          <w:numId w:val="82"/>
        </w:numPr>
        <w:rPr>
          <w:rFonts w:ascii="Times New Roman" w:hAnsi="Times New Roman"/>
          <w:noProof/>
          <w:color w:val="000000"/>
          <w:sz w:val="24"/>
          <w:lang w:val="en-GB"/>
        </w:rPr>
      </w:pPr>
      <w:r w:rsidRPr="00E8408B">
        <w:rPr>
          <w:rFonts w:ascii="Times New Roman" w:hAnsi="Times New Roman"/>
          <w:noProof/>
          <w:color w:val="000000"/>
          <w:sz w:val="24"/>
          <w:lang w:val="en-GB"/>
        </w:rPr>
        <w:t xml:space="preserve">In </w:t>
      </w:r>
      <w:r w:rsidR="008C3EBC">
        <w:rPr>
          <w:rFonts w:ascii="Times New Roman" w:hAnsi="Times New Roman"/>
          <w:noProof/>
          <w:color w:val="000000"/>
          <w:sz w:val="24"/>
          <w:lang w:val="en-GB"/>
        </w:rPr>
        <w:t>template</w:t>
      </w:r>
      <w:r w:rsidR="000D605D">
        <w:rPr>
          <w:rFonts w:ascii="Times New Roman" w:hAnsi="Times New Roman"/>
          <w:noProof/>
          <w:color w:val="000000"/>
          <w:sz w:val="24"/>
          <w:lang w:val="en-GB"/>
        </w:rPr>
        <w:t xml:space="preserve"> </w:t>
      </w:r>
      <w:r w:rsidRPr="00E8408B">
        <w:rPr>
          <w:rFonts w:ascii="Times New Roman" w:hAnsi="Times New Roman"/>
          <w:noProof/>
          <w:color w:val="000000"/>
          <w:sz w:val="24"/>
          <w:lang w:val="en-GB"/>
        </w:rPr>
        <w:t>S.05.01 General comments</w:t>
      </w:r>
      <w:r>
        <w:rPr>
          <w:rFonts w:ascii="Times New Roman" w:hAnsi="Times New Roman"/>
          <w:noProof/>
          <w:color w:val="000000"/>
          <w:sz w:val="24"/>
          <w:lang w:val="en-GB"/>
        </w:rPr>
        <w:t xml:space="preserve"> -</w:t>
      </w:r>
      <w:r w:rsidRPr="00E8408B">
        <w:rPr>
          <w:rFonts w:ascii="Times New Roman" w:hAnsi="Times New Roman"/>
          <w:noProof/>
          <w:color w:val="000000"/>
          <w:sz w:val="24"/>
          <w:lang w:val="en-GB"/>
        </w:rPr>
        <w:t xml:space="preserve"> the </w:t>
      </w:r>
      <w:r w:rsidR="00361B7D" w:rsidRPr="008C3EBC">
        <w:rPr>
          <w:rFonts w:ascii="Times New Roman" w:hAnsi="Times New Roman"/>
          <w:noProof/>
          <w:color w:val="000000"/>
          <w:sz w:val="24"/>
          <w:lang w:val="en-GB"/>
        </w:rPr>
        <w:t>second</w:t>
      </w:r>
      <w:r w:rsidR="00361B7D" w:rsidRPr="00E8408B">
        <w:rPr>
          <w:rFonts w:ascii="Times New Roman" w:hAnsi="Times New Roman"/>
          <w:noProof/>
          <w:color w:val="000000"/>
          <w:sz w:val="24"/>
          <w:lang w:val="en-GB"/>
        </w:rPr>
        <w:t xml:space="preserve"> </w:t>
      </w:r>
      <w:r w:rsidR="003C6A97">
        <w:rPr>
          <w:rFonts w:ascii="Times New Roman" w:hAnsi="Times New Roman"/>
          <w:noProof/>
          <w:color w:val="000000"/>
          <w:sz w:val="24"/>
          <w:lang w:val="en-GB"/>
        </w:rPr>
        <w:t xml:space="preserve"> </w:t>
      </w:r>
      <w:r w:rsidRPr="00E8408B">
        <w:rPr>
          <w:rFonts w:ascii="Times New Roman" w:hAnsi="Times New Roman"/>
          <w:noProof/>
          <w:color w:val="000000"/>
          <w:sz w:val="24"/>
          <w:lang w:val="en-GB"/>
        </w:rPr>
        <w:t>paragraph is replaced by the following:</w:t>
      </w:r>
    </w:p>
    <w:p w:rsidR="00E8408B" w:rsidRPr="008E2278" w:rsidRDefault="001F33C1" w:rsidP="008E2278">
      <w:pPr>
        <w:ind w:left="709"/>
        <w:jc w:val="both"/>
        <w:rPr>
          <w:noProof/>
        </w:rPr>
      </w:pPr>
      <w:r>
        <w:rPr>
          <w:noProof/>
          <w:color w:val="000000"/>
        </w:rPr>
        <w:t>“</w:t>
      </w:r>
      <w:r w:rsidR="00E8408B" w:rsidRPr="00E8408B">
        <w:rPr>
          <w:noProof/>
          <w:color w:val="000000"/>
        </w:rPr>
        <w:t xml:space="preserve">This template shall be reported from an accounting perspective, i.e.: Local GAAP or IFRS if accepted as local GAAP but using SII lines of business. </w:t>
      </w:r>
      <w:r w:rsidR="00E8408B" w:rsidRPr="008E2278">
        <w:rPr>
          <w:noProof/>
        </w:rPr>
        <w:t>Undertakings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t>
      </w:r>
      <w:r>
        <w:rPr>
          <w:noProof/>
        </w:rPr>
        <w:t>”</w:t>
      </w:r>
    </w:p>
    <w:p w:rsidR="00E8408B" w:rsidRDefault="00E8408B" w:rsidP="00E8408B">
      <w:pPr>
        <w:ind w:left="360"/>
        <w:jc w:val="both"/>
        <w:rPr>
          <w:noProof/>
          <w:color w:val="FF0000"/>
        </w:rPr>
      </w:pPr>
    </w:p>
    <w:p w:rsidR="00CD7BA4" w:rsidRDefault="00CD7BA4" w:rsidP="00CD6D0B">
      <w:pPr>
        <w:pStyle w:val="ListParagraph"/>
        <w:numPr>
          <w:ilvl w:val="0"/>
          <w:numId w:val="151"/>
        </w:numPr>
        <w:ind w:left="709"/>
        <w:rPr>
          <w:rFonts w:ascii="Times New Roman" w:eastAsia="Times New Roman" w:hAnsi="Times New Roman"/>
          <w:noProof/>
          <w:sz w:val="24"/>
          <w:lang w:val="en-GB" w:eastAsia="en-GB"/>
        </w:rPr>
      </w:pPr>
      <w:r w:rsidRPr="00CD6D0B">
        <w:rPr>
          <w:rFonts w:ascii="Times New Roman" w:eastAsia="Times New Roman" w:hAnsi="Times New Roman"/>
          <w:noProof/>
          <w:sz w:val="24"/>
          <w:lang w:val="en-GB" w:eastAsia="en-GB"/>
        </w:rPr>
        <w:t xml:space="preserve">Annex II to Implementing Regulation (EU) 2015/2452 </w:t>
      </w:r>
      <w:r>
        <w:rPr>
          <w:rFonts w:ascii="Times New Roman" w:eastAsia="Times New Roman" w:hAnsi="Times New Roman"/>
          <w:noProof/>
          <w:sz w:val="24"/>
          <w:lang w:val="en-GB" w:eastAsia="en-GB"/>
        </w:rPr>
        <w:t>is</w:t>
      </w:r>
      <w:r w:rsidRPr="00CD6D0B">
        <w:rPr>
          <w:rFonts w:ascii="Times New Roman" w:eastAsia="Times New Roman" w:hAnsi="Times New Roman"/>
          <w:noProof/>
          <w:sz w:val="24"/>
          <w:lang w:val="en-GB" w:eastAsia="en-GB"/>
        </w:rPr>
        <w:t xml:space="preserve"> amended as follows:</w:t>
      </w:r>
    </w:p>
    <w:p w:rsidR="00C76639" w:rsidRPr="00CD6D0B" w:rsidRDefault="00C76639" w:rsidP="00CD6D0B">
      <w:pPr>
        <w:pStyle w:val="ListParagraph"/>
        <w:ind w:left="709"/>
        <w:rPr>
          <w:rFonts w:ascii="Times New Roman" w:eastAsia="Times New Roman" w:hAnsi="Times New Roman"/>
          <w:noProof/>
          <w:sz w:val="24"/>
          <w:lang w:val="en-GB" w:eastAsia="en-GB"/>
        </w:rPr>
      </w:pPr>
    </w:p>
    <w:p w:rsidR="00E8408B" w:rsidRPr="00B24200" w:rsidRDefault="00E8408B" w:rsidP="00CD6D0B">
      <w:pPr>
        <w:pStyle w:val="ListParagraph"/>
        <w:numPr>
          <w:ilvl w:val="0"/>
          <w:numId w:val="154"/>
        </w:numPr>
        <w:jc w:val="both"/>
        <w:rPr>
          <w:noProof/>
          <w:color w:val="000000"/>
          <w:lang w:val="en-GB"/>
        </w:rPr>
      </w:pPr>
      <w:r w:rsidRPr="00CD6D0B">
        <w:rPr>
          <w:rFonts w:ascii="Times New Roman" w:hAnsi="Times New Roman"/>
          <w:noProof/>
          <w:color w:val="000000"/>
          <w:sz w:val="24"/>
          <w:lang w:val="en-GB"/>
        </w:rPr>
        <w:t xml:space="preserve">In </w:t>
      </w:r>
      <w:r w:rsidR="00CD7BA4" w:rsidRPr="00CD6D0B">
        <w:rPr>
          <w:rFonts w:ascii="Times New Roman" w:hAnsi="Times New Roman"/>
          <w:noProof/>
          <w:color w:val="000000"/>
          <w:sz w:val="24"/>
          <w:lang w:val="en-GB"/>
        </w:rPr>
        <w:t>template</w:t>
      </w:r>
      <w:r w:rsidR="00B114B3" w:rsidRPr="00CD6D0B">
        <w:rPr>
          <w:rFonts w:ascii="Times New Roman" w:hAnsi="Times New Roman"/>
          <w:noProof/>
          <w:color w:val="000000"/>
          <w:sz w:val="24"/>
          <w:lang w:val="en-GB"/>
        </w:rPr>
        <w:t xml:space="preserve"> </w:t>
      </w:r>
      <w:r w:rsidRPr="00CD6D0B">
        <w:rPr>
          <w:rFonts w:ascii="Times New Roman" w:hAnsi="Times New Roman"/>
          <w:noProof/>
          <w:color w:val="000000"/>
          <w:sz w:val="24"/>
          <w:lang w:val="en-GB"/>
        </w:rPr>
        <w:t xml:space="preserve">S.05.02 — General comments - the </w:t>
      </w:r>
      <w:r w:rsidR="00361B7D" w:rsidRPr="00CD6D0B">
        <w:rPr>
          <w:rFonts w:ascii="Times New Roman" w:hAnsi="Times New Roman"/>
          <w:noProof/>
          <w:color w:val="000000"/>
          <w:sz w:val="24"/>
          <w:lang w:val="en-GB"/>
        </w:rPr>
        <w:t>third</w:t>
      </w:r>
      <w:r w:rsidRPr="00CD6D0B">
        <w:rPr>
          <w:rFonts w:ascii="Times New Roman" w:hAnsi="Times New Roman"/>
          <w:noProof/>
          <w:color w:val="000000"/>
          <w:sz w:val="24"/>
          <w:lang w:val="en-GB"/>
        </w:rPr>
        <w:t xml:space="preserve"> paragraph is replaced by the following:</w:t>
      </w:r>
    </w:p>
    <w:p w:rsidR="003C6A97" w:rsidRDefault="001F33C1" w:rsidP="008E2278">
      <w:pPr>
        <w:spacing w:after="200" w:line="276" w:lineRule="auto"/>
        <w:ind w:left="709"/>
        <w:jc w:val="both"/>
        <w:rPr>
          <w:noProof/>
          <w:lang w:val="en-US"/>
        </w:rPr>
      </w:pPr>
      <w:r>
        <w:rPr>
          <w:noProof/>
          <w:lang w:val="en-US"/>
        </w:rPr>
        <w:t>“</w:t>
      </w:r>
      <w:r w:rsidR="00E8408B" w:rsidRPr="00E8408B">
        <w:rPr>
          <w:noProof/>
          <w:lang w:val="en-US"/>
        </w:rPr>
        <w:t>The template is based on a year-to-date basis. Undertakings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t>
      </w:r>
      <w:r>
        <w:rPr>
          <w:noProof/>
          <w:lang w:val="en-US"/>
        </w:rPr>
        <w:t>”</w:t>
      </w:r>
    </w:p>
    <w:p w:rsidR="00CD7BA4" w:rsidRDefault="00CD7BA4" w:rsidP="00CD7BA4">
      <w:pPr>
        <w:pStyle w:val="ListParagraph"/>
        <w:numPr>
          <w:ilvl w:val="0"/>
          <w:numId w:val="151"/>
        </w:numPr>
        <w:ind w:left="709"/>
        <w:rPr>
          <w:rFonts w:ascii="Times New Roman" w:eastAsia="Times New Roman" w:hAnsi="Times New Roman"/>
          <w:noProof/>
          <w:sz w:val="24"/>
          <w:lang w:val="en-GB" w:eastAsia="en-GB"/>
        </w:rPr>
      </w:pPr>
      <w:r w:rsidRPr="00692633">
        <w:rPr>
          <w:rFonts w:ascii="Times New Roman" w:eastAsia="Times New Roman" w:hAnsi="Times New Roman"/>
          <w:noProof/>
          <w:sz w:val="24"/>
          <w:lang w:val="en-GB" w:eastAsia="en-GB"/>
        </w:rPr>
        <w:t>Annex II</w:t>
      </w:r>
      <w:r>
        <w:rPr>
          <w:rFonts w:ascii="Times New Roman" w:eastAsia="Times New Roman" w:hAnsi="Times New Roman"/>
          <w:noProof/>
          <w:sz w:val="24"/>
          <w:lang w:val="en-GB" w:eastAsia="en-GB"/>
        </w:rPr>
        <w:t>I</w:t>
      </w:r>
      <w:r w:rsidRPr="00692633">
        <w:rPr>
          <w:rFonts w:ascii="Times New Roman" w:eastAsia="Times New Roman" w:hAnsi="Times New Roman"/>
          <w:noProof/>
          <w:sz w:val="24"/>
          <w:lang w:val="en-GB" w:eastAsia="en-GB"/>
        </w:rPr>
        <w:t xml:space="preserve"> to Implementing Regulation (EU) 2015/2452 </w:t>
      </w:r>
      <w:r>
        <w:rPr>
          <w:rFonts w:ascii="Times New Roman" w:eastAsia="Times New Roman" w:hAnsi="Times New Roman"/>
          <w:noProof/>
          <w:sz w:val="24"/>
          <w:lang w:val="en-GB" w:eastAsia="en-GB"/>
        </w:rPr>
        <w:t>is</w:t>
      </w:r>
      <w:r w:rsidRPr="00692633">
        <w:rPr>
          <w:rFonts w:ascii="Times New Roman" w:eastAsia="Times New Roman" w:hAnsi="Times New Roman"/>
          <w:noProof/>
          <w:sz w:val="24"/>
          <w:lang w:val="en-GB" w:eastAsia="en-GB"/>
        </w:rPr>
        <w:t xml:space="preserve"> amended as follows:</w:t>
      </w:r>
    </w:p>
    <w:p w:rsidR="00C76639" w:rsidRPr="00692633" w:rsidRDefault="00C76639" w:rsidP="00CD6D0B">
      <w:pPr>
        <w:pStyle w:val="ListParagraph"/>
        <w:ind w:left="709"/>
        <w:rPr>
          <w:rFonts w:ascii="Times New Roman" w:eastAsia="Times New Roman" w:hAnsi="Times New Roman"/>
          <w:noProof/>
          <w:sz w:val="24"/>
          <w:lang w:val="en-GB" w:eastAsia="en-GB"/>
        </w:rPr>
      </w:pPr>
    </w:p>
    <w:p w:rsidR="00CD7BA4" w:rsidRPr="00692633" w:rsidRDefault="00CD7BA4" w:rsidP="00CD6D0B">
      <w:pPr>
        <w:pStyle w:val="ListParagraph"/>
        <w:numPr>
          <w:ilvl w:val="0"/>
          <w:numId w:val="153"/>
        </w:numPr>
        <w:jc w:val="both"/>
        <w:rPr>
          <w:rFonts w:ascii="Times New Roman" w:hAnsi="Times New Roman"/>
          <w:noProof/>
          <w:color w:val="000000"/>
          <w:sz w:val="24"/>
          <w:lang w:val="en-GB"/>
        </w:rPr>
      </w:pPr>
      <w:r w:rsidRPr="00692633">
        <w:rPr>
          <w:rFonts w:ascii="Times New Roman" w:hAnsi="Times New Roman"/>
          <w:noProof/>
          <w:color w:val="000000"/>
          <w:sz w:val="24"/>
          <w:lang w:val="en-GB"/>
        </w:rPr>
        <w:t xml:space="preserve">In template S.05.02 — General comments - the </w:t>
      </w:r>
      <w:r>
        <w:rPr>
          <w:rFonts w:ascii="Times New Roman" w:hAnsi="Times New Roman"/>
          <w:noProof/>
          <w:color w:val="000000"/>
          <w:sz w:val="24"/>
          <w:lang w:val="en-GB"/>
        </w:rPr>
        <w:t>second</w:t>
      </w:r>
      <w:r w:rsidRPr="00692633">
        <w:rPr>
          <w:rFonts w:ascii="Times New Roman" w:hAnsi="Times New Roman"/>
          <w:noProof/>
          <w:color w:val="000000"/>
          <w:sz w:val="24"/>
          <w:lang w:val="en-GB"/>
        </w:rPr>
        <w:t xml:space="preserve"> paragraph is replaced by the following:</w:t>
      </w:r>
    </w:p>
    <w:p w:rsidR="00CD7BA4" w:rsidRDefault="00CD7BA4" w:rsidP="00CD7BA4">
      <w:pPr>
        <w:spacing w:after="200" w:line="276" w:lineRule="auto"/>
        <w:ind w:left="709"/>
        <w:jc w:val="both"/>
        <w:rPr>
          <w:noProof/>
          <w:lang w:val="en-US"/>
        </w:rPr>
      </w:pPr>
      <w:r>
        <w:rPr>
          <w:noProof/>
          <w:lang w:val="en-US"/>
        </w:rPr>
        <w:t>“</w:t>
      </w:r>
      <w:r>
        <w:t xml:space="preserve">This template shall be disclosed from an accounting perspective, i.e.: Local GAAP or IFRS if accepted as local GAAP. </w:t>
      </w:r>
      <w:r w:rsidRPr="00E8408B">
        <w:rPr>
          <w:noProof/>
          <w:lang w:val="en-US"/>
        </w:rPr>
        <w:t>The template is based on a year-to-date basis. Undertakings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t>
      </w:r>
      <w:r>
        <w:rPr>
          <w:noProof/>
          <w:lang w:val="en-US"/>
        </w:rPr>
        <w:t>”</w:t>
      </w:r>
    </w:p>
    <w:p w:rsidR="00361B7D" w:rsidRPr="00E8408B" w:rsidRDefault="00361B7D" w:rsidP="008E2278">
      <w:pPr>
        <w:spacing w:after="200" w:line="276" w:lineRule="auto"/>
        <w:ind w:left="709"/>
        <w:jc w:val="both"/>
        <w:rPr>
          <w:noProof/>
          <w:lang w:val="en-US"/>
        </w:rPr>
      </w:pPr>
    </w:p>
    <w:p w:rsidR="00503BEA" w:rsidRDefault="00503BEA" w:rsidP="00E8408B">
      <w:pPr>
        <w:spacing w:after="200" w:line="276" w:lineRule="auto"/>
        <w:jc w:val="both"/>
        <w:rPr>
          <w:rFonts w:eastAsia="Calibri"/>
          <w:b/>
          <w:noProof/>
          <w:u w:val="single"/>
          <w:lang w:eastAsia="en-US"/>
        </w:rPr>
      </w:pPr>
      <w:r>
        <w:rPr>
          <w:noProof/>
        </w:rPr>
        <w:br w:type="page"/>
      </w:r>
    </w:p>
    <w:p w:rsidR="00C2109C" w:rsidRDefault="003139AD" w:rsidP="00C2109C">
      <w:pPr>
        <w:pStyle w:val="Annexetitre"/>
        <w:rPr>
          <w:noProof/>
        </w:rPr>
      </w:pPr>
      <w:r>
        <w:rPr>
          <w:noProof/>
        </w:rPr>
        <w:t>ANNEX I</w:t>
      </w:r>
      <w:r w:rsidR="00503BEA">
        <w:rPr>
          <w:noProof/>
        </w:rPr>
        <w:t>I</w:t>
      </w:r>
    </w:p>
    <w:p w:rsidR="00822210" w:rsidRDefault="00822210" w:rsidP="00822210">
      <w:pPr>
        <w:ind w:left="284"/>
        <w:jc w:val="both"/>
      </w:pPr>
    </w:p>
    <w:p w:rsidR="00184D26" w:rsidRDefault="00184D26" w:rsidP="00184D26">
      <w:pPr>
        <w:pStyle w:val="ListParagraph"/>
        <w:numPr>
          <w:ilvl w:val="0"/>
          <w:numId w:val="72"/>
        </w:numPr>
        <w:ind w:left="426"/>
        <w:rPr>
          <w:rFonts w:ascii="Times New Roman" w:hAnsi="Times New Roman"/>
          <w:sz w:val="24"/>
          <w:lang w:val="en-GB"/>
        </w:rPr>
      </w:pPr>
      <w:r w:rsidRPr="00F23F46">
        <w:rPr>
          <w:rFonts w:ascii="Times New Roman" w:hAnsi="Times New Roman"/>
          <w:sz w:val="24"/>
          <w:lang w:val="en-GB"/>
        </w:rPr>
        <w:t xml:space="preserve">Annex I to </w:t>
      </w:r>
      <w:r w:rsidRPr="00F23F46">
        <w:rPr>
          <w:rFonts w:ascii="Times New Roman" w:hAnsi="Times New Roman"/>
          <w:sz w:val="24"/>
          <w:lang w:val="en-GB" w:eastAsia="de-DE"/>
        </w:rPr>
        <w:t xml:space="preserve">Implementing Regulation (EU) 2015/2452 </w:t>
      </w:r>
      <w:r w:rsidRPr="00F23F46">
        <w:rPr>
          <w:rFonts w:ascii="Times New Roman" w:hAnsi="Times New Roman"/>
          <w:sz w:val="24"/>
          <w:lang w:val="en-GB"/>
        </w:rPr>
        <w:t xml:space="preserve">is </w:t>
      </w:r>
      <w:r w:rsidR="00503BEA">
        <w:rPr>
          <w:rFonts w:ascii="Times New Roman" w:hAnsi="Times New Roman"/>
          <w:sz w:val="24"/>
          <w:lang w:val="en-GB"/>
        </w:rPr>
        <w:t>corrected</w:t>
      </w:r>
      <w:r w:rsidRPr="00F23F46">
        <w:rPr>
          <w:rFonts w:ascii="Times New Roman" w:hAnsi="Times New Roman"/>
          <w:sz w:val="24"/>
          <w:lang w:val="en-GB"/>
        </w:rPr>
        <w:t xml:space="preserve"> as follows:</w:t>
      </w:r>
    </w:p>
    <w:p w:rsidR="00AB0A0D" w:rsidRDefault="00AB0A0D" w:rsidP="009A32AF">
      <w:pPr>
        <w:pStyle w:val="ListParagraph"/>
        <w:numPr>
          <w:ilvl w:val="0"/>
          <w:numId w:val="78"/>
        </w:numPr>
        <w:spacing w:after="200" w:line="276" w:lineRule="auto"/>
        <w:jc w:val="both"/>
        <w:rPr>
          <w:rFonts w:ascii="Times New Roman" w:hAnsi="Times New Roman"/>
          <w:sz w:val="24"/>
          <w:lang w:val="en-GB"/>
        </w:rPr>
      </w:pPr>
      <w:r w:rsidRPr="00F23F46">
        <w:rPr>
          <w:rFonts w:ascii="Times New Roman" w:hAnsi="Times New Roman"/>
          <w:sz w:val="24"/>
          <w:lang w:val="en-GB"/>
        </w:rPr>
        <w:t>I</w:t>
      </w:r>
      <w:r>
        <w:rPr>
          <w:rFonts w:ascii="Times New Roman" w:hAnsi="Times New Roman"/>
          <w:sz w:val="24"/>
          <w:lang w:val="en-GB"/>
        </w:rPr>
        <w:t xml:space="preserve">n </w:t>
      </w:r>
      <w:r w:rsidR="00123FBE" w:rsidRPr="00216DB3">
        <w:rPr>
          <w:rFonts w:ascii="Times New Roman" w:hAnsi="Times New Roman"/>
          <w:sz w:val="24"/>
          <w:lang w:val="en-GB"/>
        </w:rPr>
        <w:t xml:space="preserve">template </w:t>
      </w:r>
      <w:r w:rsidRPr="00216DB3">
        <w:rPr>
          <w:rFonts w:ascii="Times New Roman" w:hAnsi="Times New Roman"/>
          <w:sz w:val="24"/>
          <w:lang w:val="en-GB"/>
        </w:rPr>
        <w:t>S.19.01.21</w:t>
      </w:r>
      <w:r w:rsidR="009A32AF" w:rsidRPr="00216DB3">
        <w:rPr>
          <w:rFonts w:ascii="Times New Roman" w:hAnsi="Times New Roman"/>
          <w:sz w:val="24"/>
          <w:lang w:val="en-GB"/>
        </w:rPr>
        <w:t xml:space="preserve">, </w:t>
      </w:r>
      <w:r w:rsidR="00123FBE" w:rsidRPr="00CD6D0B">
        <w:rPr>
          <w:rFonts w:ascii="Times New Roman" w:hAnsi="Times New Roman"/>
          <w:sz w:val="24"/>
          <w:lang w:val="en-GB"/>
        </w:rPr>
        <w:t>row</w:t>
      </w:r>
      <w:r w:rsidR="00123FBE" w:rsidRPr="00216DB3">
        <w:rPr>
          <w:rFonts w:ascii="Times New Roman" w:hAnsi="Times New Roman"/>
          <w:sz w:val="24"/>
          <w:lang w:val="en-GB"/>
        </w:rPr>
        <w:t xml:space="preserve"> </w:t>
      </w:r>
      <w:r w:rsidRPr="00216DB3">
        <w:rPr>
          <w:rFonts w:ascii="Times New Roman" w:hAnsi="Times New Roman"/>
          <w:sz w:val="24"/>
          <w:lang w:val="en-GB"/>
        </w:rPr>
        <w:t>Z0010 is replaced by the following</w:t>
      </w:r>
      <w:r w:rsidR="00123FBE" w:rsidRPr="00216DB3">
        <w:rPr>
          <w:rFonts w:ascii="Times New Roman" w:hAnsi="Times New Roman"/>
          <w:sz w:val="24"/>
          <w:lang w:val="en-GB"/>
        </w:rPr>
        <w:t xml:space="preserve"> row</w:t>
      </w:r>
      <w:r w:rsidRPr="00216DB3">
        <w:rPr>
          <w:rFonts w:ascii="Times New Roman" w:hAnsi="Times New Roman"/>
          <w:sz w:val="24"/>
          <w:lang w:val="en-GB"/>
        </w:rPr>
        <w:t>:</w:t>
      </w:r>
      <w:r w:rsidR="009A32AF" w:rsidRPr="009A32AF">
        <w:rPr>
          <w:rFonts w:ascii="Times New Roman" w:hAnsi="Times New Roman"/>
          <w:sz w:val="24"/>
          <w:lang w:val="en-GB"/>
        </w:rPr>
        <w:t xml:space="preserve"> </w:t>
      </w:r>
    </w:p>
    <w:tbl>
      <w:tblPr>
        <w:tblW w:w="4404" w:type="dxa"/>
        <w:tblInd w:w="959" w:type="dxa"/>
        <w:tblLook w:val="04A0" w:firstRow="1" w:lastRow="0" w:firstColumn="1" w:lastColumn="0" w:noHBand="0" w:noVBand="1"/>
      </w:tblPr>
      <w:tblGrid>
        <w:gridCol w:w="2215"/>
        <w:gridCol w:w="1160"/>
        <w:gridCol w:w="1029"/>
      </w:tblGrid>
      <w:tr w:rsidR="00AB0A0D" w:rsidRPr="00AB0A0D" w:rsidTr="00B24200">
        <w:trPr>
          <w:trHeight w:val="419"/>
        </w:trPr>
        <w:tc>
          <w:tcPr>
            <w:tcW w:w="2215" w:type="dxa"/>
            <w:tcBorders>
              <w:top w:val="nil"/>
              <w:left w:val="nil"/>
              <w:bottom w:val="nil"/>
              <w:right w:val="single" w:sz="4" w:space="0" w:color="000000"/>
            </w:tcBorders>
            <w:shd w:val="clear" w:color="000000" w:fill="FFFFFF"/>
            <w:vAlign w:val="bottom"/>
            <w:hideMark/>
          </w:tcPr>
          <w:p w:rsidR="00AB0A0D" w:rsidRPr="00AB0A0D" w:rsidRDefault="00AB0A0D" w:rsidP="00F2461A">
            <w:r w:rsidRPr="00AB0A0D">
              <w:t>Accident year / Underwriting year</w:t>
            </w:r>
          </w:p>
        </w:tc>
        <w:tc>
          <w:tcPr>
            <w:tcW w:w="1160" w:type="dxa"/>
            <w:tcBorders>
              <w:top w:val="single" w:sz="4" w:space="0" w:color="auto"/>
              <w:left w:val="nil"/>
              <w:bottom w:val="single" w:sz="4" w:space="0" w:color="auto"/>
              <w:right w:val="single" w:sz="4" w:space="0" w:color="auto"/>
            </w:tcBorders>
            <w:shd w:val="clear" w:color="000000" w:fill="FFFFFF"/>
            <w:noWrap/>
            <w:vAlign w:val="center"/>
            <w:hideMark/>
          </w:tcPr>
          <w:p w:rsidR="00AB0A0D" w:rsidRPr="00AB0A0D" w:rsidRDefault="00AB0A0D" w:rsidP="00AB0A0D">
            <w:pPr>
              <w:jc w:val="center"/>
              <w:rPr>
                <w:b/>
                <w:bCs/>
              </w:rPr>
            </w:pPr>
            <w:r w:rsidRPr="00AB0A0D">
              <w:rPr>
                <w:b/>
                <w:bCs/>
              </w:rPr>
              <w:t>Z00</w:t>
            </w:r>
            <w:r>
              <w:rPr>
                <w:b/>
                <w:bCs/>
              </w:rPr>
              <w:t>2</w:t>
            </w:r>
            <w:r w:rsidRPr="00AB0A0D">
              <w:rPr>
                <w:b/>
                <w:bCs/>
              </w:rPr>
              <w:t>0</w:t>
            </w:r>
          </w:p>
        </w:tc>
        <w:tc>
          <w:tcPr>
            <w:tcW w:w="1029" w:type="dxa"/>
            <w:tcBorders>
              <w:top w:val="single" w:sz="4" w:space="0" w:color="auto"/>
              <w:left w:val="nil"/>
              <w:bottom w:val="single" w:sz="4" w:space="0" w:color="auto"/>
              <w:right w:val="single" w:sz="4" w:space="0" w:color="auto"/>
            </w:tcBorders>
            <w:shd w:val="clear" w:color="000000" w:fill="FFFFFF"/>
            <w:noWrap/>
            <w:vAlign w:val="center"/>
            <w:hideMark/>
          </w:tcPr>
          <w:p w:rsidR="00AB0A0D" w:rsidRPr="00AB0A0D" w:rsidRDefault="00AB0A0D" w:rsidP="00AB0A0D">
            <w:pPr>
              <w:jc w:val="center"/>
            </w:pPr>
          </w:p>
        </w:tc>
      </w:tr>
    </w:tbl>
    <w:p w:rsidR="00AB0A0D" w:rsidRDefault="00F409D2" w:rsidP="00AB0A0D">
      <w:pPr>
        <w:pStyle w:val="ListParagraph"/>
        <w:spacing w:after="200" w:line="276" w:lineRule="auto"/>
        <w:jc w:val="both"/>
        <w:rPr>
          <w:rFonts w:ascii="Times New Roman" w:hAnsi="Times New Roman"/>
          <w:sz w:val="24"/>
          <w:lang w:val="en-GB"/>
        </w:rPr>
      </w:pPr>
      <w:r>
        <w:rPr>
          <w:rFonts w:ascii="Times New Roman" w:hAnsi="Times New Roman"/>
          <w:sz w:val="24"/>
          <w:lang w:val="en-GB"/>
        </w:rPr>
        <w:t>;</w:t>
      </w:r>
    </w:p>
    <w:p w:rsidR="00893300" w:rsidRDefault="00893300" w:rsidP="00D541B9">
      <w:pPr>
        <w:pStyle w:val="ListParagraph"/>
        <w:numPr>
          <w:ilvl w:val="0"/>
          <w:numId w:val="78"/>
        </w:numPr>
        <w:spacing w:after="200" w:line="276" w:lineRule="auto"/>
        <w:jc w:val="both"/>
        <w:rPr>
          <w:rFonts w:ascii="Times New Roman" w:hAnsi="Times New Roman"/>
          <w:sz w:val="24"/>
          <w:lang w:val="en-GB"/>
        </w:rPr>
      </w:pPr>
      <w:r>
        <w:rPr>
          <w:rFonts w:ascii="Times New Roman" w:hAnsi="Times New Roman"/>
          <w:sz w:val="24"/>
          <w:lang w:val="en-GB"/>
        </w:rPr>
        <w:t xml:space="preserve">In </w:t>
      </w:r>
      <w:r w:rsidR="009A5F94" w:rsidRPr="00216DB3">
        <w:rPr>
          <w:rFonts w:ascii="Times New Roman" w:hAnsi="Times New Roman"/>
          <w:sz w:val="24"/>
          <w:lang w:val="en-GB"/>
        </w:rPr>
        <w:t>template</w:t>
      </w:r>
      <w:r w:rsidR="00A049A5">
        <w:rPr>
          <w:rFonts w:ascii="Times New Roman" w:hAnsi="Times New Roman"/>
          <w:sz w:val="24"/>
          <w:lang w:val="en-GB"/>
        </w:rPr>
        <w:t xml:space="preserve"> </w:t>
      </w:r>
      <w:r>
        <w:rPr>
          <w:rFonts w:ascii="Times New Roman" w:hAnsi="Times New Roman"/>
          <w:sz w:val="24"/>
          <w:lang w:val="en-GB"/>
        </w:rPr>
        <w:t>S.23.01.01.R0230 is replaced by the following</w:t>
      </w:r>
      <w:r w:rsidR="00C76639">
        <w:rPr>
          <w:rFonts w:ascii="Times New Roman" w:hAnsi="Times New Roman"/>
          <w:sz w:val="24"/>
          <w:lang w:val="en-GB"/>
        </w:rPr>
        <w:t xml:space="preserve"> row</w:t>
      </w:r>
      <w:r>
        <w:rPr>
          <w:rFonts w:ascii="Times New Roman" w:hAnsi="Times New Roman"/>
          <w:sz w:val="24"/>
          <w:lang w:val="en-GB"/>
        </w:rPr>
        <w:t>:</w:t>
      </w:r>
    </w:p>
    <w:tbl>
      <w:tblPr>
        <w:tblW w:w="8799" w:type="dxa"/>
        <w:tblInd w:w="959" w:type="dxa"/>
        <w:tblLook w:val="04A0" w:firstRow="1" w:lastRow="0" w:firstColumn="1" w:lastColumn="0" w:noHBand="0" w:noVBand="1"/>
      </w:tblPr>
      <w:tblGrid>
        <w:gridCol w:w="4301"/>
        <w:gridCol w:w="870"/>
        <w:gridCol w:w="587"/>
        <w:gridCol w:w="1030"/>
        <w:gridCol w:w="837"/>
        <w:gridCol w:w="587"/>
        <w:gridCol w:w="587"/>
      </w:tblGrid>
      <w:tr w:rsidR="00893300" w:rsidRPr="003617B6" w:rsidTr="00B24200">
        <w:trPr>
          <w:trHeight w:val="225"/>
        </w:trPr>
        <w:tc>
          <w:tcPr>
            <w:tcW w:w="4301" w:type="dxa"/>
            <w:tcBorders>
              <w:top w:val="nil"/>
              <w:left w:val="nil"/>
              <w:bottom w:val="nil"/>
              <w:right w:val="nil"/>
            </w:tcBorders>
            <w:shd w:val="clear" w:color="auto" w:fill="auto"/>
            <w:hideMark/>
          </w:tcPr>
          <w:p w:rsidR="00893300" w:rsidRPr="00893300" w:rsidRDefault="00893300" w:rsidP="00C866C9">
            <w:pPr>
              <w:ind w:firstLineChars="100" w:firstLine="240"/>
            </w:pPr>
            <w:r w:rsidRPr="00893300">
              <w:t>Deductions for participations in financial and credit institutions</w:t>
            </w:r>
          </w:p>
        </w:tc>
        <w:tc>
          <w:tcPr>
            <w:tcW w:w="870" w:type="dxa"/>
            <w:tcBorders>
              <w:top w:val="nil"/>
              <w:left w:val="nil"/>
              <w:bottom w:val="nil"/>
              <w:right w:val="nil"/>
            </w:tcBorders>
            <w:shd w:val="clear" w:color="auto" w:fill="auto"/>
            <w:vAlign w:val="center"/>
            <w:hideMark/>
          </w:tcPr>
          <w:p w:rsidR="00893300" w:rsidRPr="00893300" w:rsidRDefault="00893300" w:rsidP="00893300">
            <w:pPr>
              <w:jc w:val="center"/>
              <w:rPr>
                <w:b/>
                <w:bCs/>
              </w:rPr>
            </w:pPr>
            <w:r>
              <w:rPr>
                <w:b/>
                <w:bCs/>
              </w:rPr>
              <w:t>R023</w:t>
            </w:r>
            <w:r w:rsidRPr="00893300">
              <w:rPr>
                <w:b/>
                <w:bCs/>
              </w:rPr>
              <w:t>0</w:t>
            </w:r>
          </w:p>
        </w:tc>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3300" w:rsidRPr="00893300" w:rsidRDefault="00893300" w:rsidP="00893300">
            <w:pPr>
              <w:jc w:val="center"/>
            </w:pP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893300" w:rsidRPr="00893300" w:rsidRDefault="00893300" w:rsidP="00893300">
            <w:pPr>
              <w:jc w:val="center"/>
            </w:pPr>
          </w:p>
        </w:tc>
        <w:tc>
          <w:tcPr>
            <w:tcW w:w="837" w:type="dxa"/>
            <w:tcBorders>
              <w:top w:val="single" w:sz="4" w:space="0" w:color="auto"/>
              <w:left w:val="nil"/>
              <w:bottom w:val="single" w:sz="4" w:space="0" w:color="auto"/>
              <w:right w:val="single" w:sz="4" w:space="0" w:color="auto"/>
            </w:tcBorders>
            <w:shd w:val="clear" w:color="auto" w:fill="auto"/>
            <w:vAlign w:val="center"/>
            <w:hideMark/>
          </w:tcPr>
          <w:p w:rsidR="00893300" w:rsidRPr="00893300" w:rsidRDefault="00893300" w:rsidP="00893300">
            <w:pPr>
              <w:jc w:val="center"/>
            </w:pP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893300" w:rsidRPr="00893300" w:rsidRDefault="00893300" w:rsidP="00893300">
            <w:pPr>
              <w:jc w:val="center"/>
            </w:pP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893300" w:rsidRPr="00893300" w:rsidRDefault="00893300" w:rsidP="00893300">
            <w:pPr>
              <w:jc w:val="center"/>
            </w:pPr>
          </w:p>
        </w:tc>
      </w:tr>
    </w:tbl>
    <w:p w:rsidR="00F409D2" w:rsidRDefault="00F409D2" w:rsidP="006F600D">
      <w:pPr>
        <w:pStyle w:val="ListParagraph"/>
        <w:spacing w:after="200" w:line="276" w:lineRule="auto"/>
        <w:jc w:val="both"/>
        <w:rPr>
          <w:rFonts w:ascii="Times New Roman" w:hAnsi="Times New Roman"/>
          <w:sz w:val="24"/>
          <w:lang w:val="en-GB"/>
        </w:rPr>
      </w:pPr>
      <w:r>
        <w:rPr>
          <w:rFonts w:ascii="Times New Roman" w:hAnsi="Times New Roman"/>
          <w:sz w:val="24"/>
          <w:lang w:val="en-GB"/>
        </w:rPr>
        <w:t>;</w:t>
      </w:r>
    </w:p>
    <w:p w:rsidR="00E52815" w:rsidRDefault="00E52815" w:rsidP="00D541B9">
      <w:pPr>
        <w:pStyle w:val="ListParagraph"/>
        <w:numPr>
          <w:ilvl w:val="0"/>
          <w:numId w:val="78"/>
        </w:numPr>
        <w:spacing w:after="200" w:line="276" w:lineRule="auto"/>
        <w:jc w:val="both"/>
        <w:rPr>
          <w:rFonts w:ascii="Times New Roman" w:hAnsi="Times New Roman"/>
          <w:sz w:val="24"/>
          <w:lang w:val="en-GB"/>
        </w:rPr>
      </w:pPr>
      <w:r>
        <w:rPr>
          <w:rFonts w:ascii="Times New Roman" w:hAnsi="Times New Roman"/>
          <w:sz w:val="24"/>
          <w:lang w:val="en-GB"/>
        </w:rPr>
        <w:t xml:space="preserve">In </w:t>
      </w:r>
      <w:r w:rsidR="00216DB3">
        <w:rPr>
          <w:rFonts w:ascii="Times New Roman" w:hAnsi="Times New Roman"/>
          <w:sz w:val="24"/>
          <w:lang w:val="en-GB"/>
        </w:rPr>
        <w:t>template</w:t>
      </w:r>
      <w:r w:rsidR="00A049A5">
        <w:rPr>
          <w:rFonts w:ascii="Times New Roman" w:hAnsi="Times New Roman"/>
          <w:sz w:val="24"/>
          <w:lang w:val="en-GB"/>
        </w:rPr>
        <w:t xml:space="preserve"> </w:t>
      </w:r>
      <w:r>
        <w:rPr>
          <w:rFonts w:ascii="Times New Roman" w:hAnsi="Times New Roman"/>
          <w:sz w:val="24"/>
          <w:lang w:val="en-GB"/>
        </w:rPr>
        <w:t>S.23.01.22.R0220 is replaced by the following</w:t>
      </w:r>
      <w:r w:rsidR="00C76639">
        <w:rPr>
          <w:rFonts w:ascii="Times New Roman" w:hAnsi="Times New Roman"/>
          <w:sz w:val="24"/>
          <w:lang w:val="en-GB"/>
        </w:rPr>
        <w:t xml:space="preserve"> row</w:t>
      </w:r>
      <w:r>
        <w:rPr>
          <w:rFonts w:ascii="Times New Roman" w:hAnsi="Times New Roman"/>
          <w:sz w:val="24"/>
          <w:lang w:val="en-GB"/>
        </w:rPr>
        <w:t>:</w:t>
      </w:r>
    </w:p>
    <w:tbl>
      <w:tblPr>
        <w:tblW w:w="8788" w:type="dxa"/>
        <w:tblInd w:w="959" w:type="dxa"/>
        <w:tblLook w:val="04A0" w:firstRow="1" w:lastRow="0" w:firstColumn="1" w:lastColumn="0" w:noHBand="0" w:noVBand="1"/>
      </w:tblPr>
      <w:tblGrid>
        <w:gridCol w:w="4252"/>
        <w:gridCol w:w="870"/>
        <w:gridCol w:w="690"/>
        <w:gridCol w:w="992"/>
        <w:gridCol w:w="850"/>
        <w:gridCol w:w="709"/>
        <w:gridCol w:w="425"/>
      </w:tblGrid>
      <w:tr w:rsidR="00654E7D" w:rsidRPr="00654E7D" w:rsidTr="009028C9">
        <w:trPr>
          <w:trHeight w:val="240"/>
        </w:trPr>
        <w:tc>
          <w:tcPr>
            <w:tcW w:w="4252" w:type="dxa"/>
            <w:tcBorders>
              <w:top w:val="nil"/>
              <w:left w:val="nil"/>
              <w:bottom w:val="nil"/>
              <w:right w:val="nil"/>
            </w:tcBorders>
            <w:shd w:val="clear" w:color="000000" w:fill="FFFFFF"/>
            <w:hideMark/>
          </w:tcPr>
          <w:p w:rsidR="00654E7D" w:rsidRPr="00654E7D" w:rsidRDefault="00654E7D" w:rsidP="00654E7D">
            <w:pPr>
              <w:rPr>
                <w:b/>
                <w:bCs/>
              </w:rPr>
            </w:pPr>
            <w:r w:rsidRPr="00E52815">
              <w:t xml:space="preserve">Own </w:t>
            </w:r>
            <w:r w:rsidRPr="00B24200">
              <w:t xml:space="preserve">funds from the financial statements that </w:t>
            </w:r>
            <w:r w:rsidR="009A32AF" w:rsidRPr="00B24200">
              <w:t>shall</w:t>
            </w:r>
            <w:r w:rsidRPr="00B24200">
              <w:t xml:space="preserve"> not be represented by the reconciliation</w:t>
            </w:r>
            <w:r w:rsidRPr="00E52815">
              <w:t xml:space="preserve"> reserve and do not meet the criteria to be classified as Solvency II own funds</w:t>
            </w:r>
          </w:p>
        </w:tc>
        <w:tc>
          <w:tcPr>
            <w:tcW w:w="870" w:type="dxa"/>
            <w:tcBorders>
              <w:top w:val="nil"/>
              <w:left w:val="nil"/>
              <w:bottom w:val="nil"/>
              <w:right w:val="nil"/>
            </w:tcBorders>
            <w:shd w:val="clear" w:color="auto" w:fill="auto"/>
            <w:vAlign w:val="center"/>
            <w:hideMark/>
          </w:tcPr>
          <w:p w:rsidR="00654E7D" w:rsidRPr="00654E7D" w:rsidRDefault="00654E7D" w:rsidP="00654E7D">
            <w:pPr>
              <w:jc w:val="center"/>
              <w:rPr>
                <w:b/>
                <w:bCs/>
              </w:rPr>
            </w:pPr>
            <w:r w:rsidRPr="00654E7D">
              <w:rPr>
                <w:b/>
                <w:bCs/>
              </w:rPr>
              <w:t>R0</w:t>
            </w:r>
            <w:r>
              <w:rPr>
                <w:b/>
                <w:bCs/>
              </w:rPr>
              <w:t>22</w:t>
            </w:r>
            <w:r w:rsidRPr="00654E7D">
              <w:rPr>
                <w:b/>
                <w:bCs/>
              </w:rPr>
              <w:t>0</w:t>
            </w: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4E7D" w:rsidRPr="00654E7D" w:rsidRDefault="00654E7D" w:rsidP="00654E7D">
            <w:pPr>
              <w:jc w:val="center"/>
            </w:pPr>
          </w:p>
        </w:tc>
        <w:tc>
          <w:tcPr>
            <w:tcW w:w="99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54E7D" w:rsidRPr="00654E7D" w:rsidRDefault="00654E7D" w:rsidP="00654E7D">
            <w:pPr>
              <w:jc w:val="center"/>
            </w:pPr>
          </w:p>
        </w:tc>
        <w:tc>
          <w:tcPr>
            <w:tcW w:w="85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54E7D" w:rsidRPr="00654E7D" w:rsidRDefault="00654E7D" w:rsidP="00654E7D">
            <w:pPr>
              <w:jc w:val="cente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54E7D" w:rsidRPr="00654E7D" w:rsidRDefault="00654E7D" w:rsidP="00654E7D">
            <w:pPr>
              <w:jc w:val="center"/>
            </w:pPr>
          </w:p>
        </w:tc>
        <w:tc>
          <w:tcPr>
            <w:tcW w:w="425"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54E7D" w:rsidRPr="00654E7D" w:rsidRDefault="00654E7D" w:rsidP="00654E7D">
            <w:pPr>
              <w:jc w:val="center"/>
            </w:pPr>
          </w:p>
        </w:tc>
      </w:tr>
    </w:tbl>
    <w:p w:rsidR="00F409D2" w:rsidRDefault="00F409D2" w:rsidP="006F600D">
      <w:pPr>
        <w:pStyle w:val="ListParagraph"/>
        <w:spacing w:after="200" w:line="276" w:lineRule="auto"/>
        <w:jc w:val="both"/>
        <w:rPr>
          <w:rFonts w:ascii="Times New Roman" w:hAnsi="Times New Roman"/>
          <w:sz w:val="24"/>
          <w:lang w:val="en-GB"/>
        </w:rPr>
      </w:pPr>
      <w:r>
        <w:rPr>
          <w:rFonts w:ascii="Times New Roman" w:hAnsi="Times New Roman"/>
          <w:sz w:val="24"/>
          <w:lang w:val="en-GB"/>
        </w:rPr>
        <w:t>;</w:t>
      </w:r>
    </w:p>
    <w:p w:rsidR="002649F1" w:rsidRPr="00D541B9" w:rsidRDefault="002649F1" w:rsidP="00573FCD">
      <w:pPr>
        <w:pStyle w:val="ListParagraph"/>
        <w:numPr>
          <w:ilvl w:val="0"/>
          <w:numId w:val="78"/>
        </w:numPr>
        <w:spacing w:after="200" w:line="276" w:lineRule="auto"/>
        <w:jc w:val="both"/>
        <w:rPr>
          <w:rFonts w:ascii="Times New Roman" w:hAnsi="Times New Roman"/>
          <w:sz w:val="24"/>
          <w:lang w:val="en-GB"/>
        </w:rPr>
      </w:pPr>
      <w:r>
        <w:rPr>
          <w:rFonts w:ascii="Times New Roman" w:hAnsi="Times New Roman"/>
          <w:sz w:val="24"/>
          <w:lang w:val="en-GB"/>
        </w:rPr>
        <w:t xml:space="preserve">In </w:t>
      </w:r>
      <w:r w:rsidR="00216DB3">
        <w:rPr>
          <w:rFonts w:ascii="Times New Roman" w:hAnsi="Times New Roman"/>
          <w:sz w:val="24"/>
          <w:lang w:val="en-GB"/>
        </w:rPr>
        <w:t>template</w:t>
      </w:r>
      <w:r w:rsidR="00A049A5">
        <w:rPr>
          <w:rFonts w:ascii="Times New Roman" w:hAnsi="Times New Roman"/>
          <w:sz w:val="24"/>
          <w:lang w:val="en-GB"/>
        </w:rPr>
        <w:t xml:space="preserve"> </w:t>
      </w:r>
      <w:r>
        <w:rPr>
          <w:rFonts w:ascii="Times New Roman" w:hAnsi="Times New Roman"/>
          <w:sz w:val="24"/>
          <w:lang w:val="en-GB"/>
        </w:rPr>
        <w:t>S.23.01.22.R0240 is replaced by the following</w:t>
      </w:r>
      <w:r w:rsidR="00C76639">
        <w:rPr>
          <w:rFonts w:ascii="Times New Roman" w:hAnsi="Times New Roman"/>
          <w:sz w:val="24"/>
          <w:lang w:val="en-GB"/>
        </w:rPr>
        <w:t xml:space="preserve"> row</w:t>
      </w:r>
      <w:r w:rsidRPr="00D541B9">
        <w:rPr>
          <w:rFonts w:ascii="Times New Roman" w:hAnsi="Times New Roman"/>
          <w:sz w:val="24"/>
          <w:lang w:val="en-GB"/>
        </w:rPr>
        <w:t>:</w:t>
      </w:r>
    </w:p>
    <w:tbl>
      <w:tblPr>
        <w:tblpPr w:leftFromText="180" w:rightFromText="180" w:vertAnchor="text" w:horzAnchor="margin" w:tblpX="959" w:tblpY="63"/>
        <w:tblW w:w="8897" w:type="dxa"/>
        <w:tblLook w:val="04A0" w:firstRow="1" w:lastRow="0" w:firstColumn="1" w:lastColumn="0" w:noHBand="0" w:noVBand="1"/>
      </w:tblPr>
      <w:tblGrid>
        <w:gridCol w:w="4249"/>
        <w:gridCol w:w="870"/>
        <w:gridCol w:w="760"/>
        <w:gridCol w:w="892"/>
        <w:gridCol w:w="850"/>
        <w:gridCol w:w="709"/>
        <w:gridCol w:w="567"/>
      </w:tblGrid>
      <w:tr w:rsidR="002649F1" w:rsidRPr="005E22E1" w:rsidTr="004137C6">
        <w:trPr>
          <w:trHeight w:val="480"/>
        </w:trPr>
        <w:tc>
          <w:tcPr>
            <w:tcW w:w="4249" w:type="dxa"/>
            <w:tcBorders>
              <w:top w:val="nil"/>
              <w:left w:val="nil"/>
              <w:bottom w:val="nil"/>
              <w:right w:val="nil"/>
            </w:tcBorders>
            <w:shd w:val="clear" w:color="auto" w:fill="auto"/>
            <w:hideMark/>
          </w:tcPr>
          <w:p w:rsidR="002649F1" w:rsidRPr="00D94C9E" w:rsidRDefault="002649F1" w:rsidP="00B24200">
            <w:pPr>
              <w:ind w:firstLine="240"/>
            </w:pPr>
            <w:r w:rsidRPr="005E22E1">
              <w:t>whereof deducted according to art 228 of the Directive 2009/138/EC</w:t>
            </w:r>
          </w:p>
        </w:tc>
        <w:tc>
          <w:tcPr>
            <w:tcW w:w="870" w:type="dxa"/>
            <w:tcBorders>
              <w:top w:val="nil"/>
              <w:left w:val="nil"/>
              <w:bottom w:val="nil"/>
              <w:right w:val="nil"/>
            </w:tcBorders>
            <w:shd w:val="clear" w:color="000000" w:fill="FFFFFF"/>
            <w:vAlign w:val="center"/>
            <w:hideMark/>
          </w:tcPr>
          <w:p w:rsidR="002649F1" w:rsidRPr="00D94C9E" w:rsidRDefault="002649F1" w:rsidP="00B24200">
            <w:pPr>
              <w:jc w:val="center"/>
              <w:rPr>
                <w:b/>
                <w:bCs/>
              </w:rPr>
            </w:pPr>
            <w:r w:rsidRPr="00D94C9E">
              <w:rPr>
                <w:b/>
                <w:bCs/>
              </w:rPr>
              <w:t>R02</w:t>
            </w:r>
            <w:r>
              <w:rPr>
                <w:b/>
                <w:bCs/>
              </w:rPr>
              <w:t>4</w:t>
            </w:r>
            <w:r w:rsidRPr="00D94C9E">
              <w:rPr>
                <w:b/>
                <w:bCs/>
              </w:rPr>
              <w:t>0</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49F1" w:rsidRPr="00D94C9E" w:rsidRDefault="002649F1" w:rsidP="00B24200">
            <w:pPr>
              <w:jc w:val="center"/>
            </w:pP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rsidR="002649F1" w:rsidRPr="00D94C9E" w:rsidRDefault="002649F1" w:rsidP="00B24200">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2649F1" w:rsidRPr="00D94C9E" w:rsidRDefault="002649F1" w:rsidP="00B24200">
            <w:pPr>
              <w:jc w:val="cente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2649F1" w:rsidRPr="00D94C9E" w:rsidRDefault="002649F1" w:rsidP="00B24200">
            <w:pPr>
              <w:jc w:val="center"/>
            </w:pPr>
          </w:p>
        </w:tc>
        <w:tc>
          <w:tcPr>
            <w:tcW w:w="567"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2649F1" w:rsidRPr="00D94C9E" w:rsidRDefault="002649F1" w:rsidP="00B24200">
            <w:pPr>
              <w:jc w:val="center"/>
            </w:pPr>
          </w:p>
        </w:tc>
      </w:tr>
    </w:tbl>
    <w:p w:rsidR="00B24200" w:rsidRDefault="00B24200" w:rsidP="00E52815">
      <w:pPr>
        <w:pStyle w:val="ListParagraph"/>
        <w:spacing w:after="200" w:line="276" w:lineRule="auto"/>
        <w:jc w:val="both"/>
        <w:rPr>
          <w:rFonts w:ascii="Times New Roman" w:hAnsi="Times New Roman"/>
          <w:sz w:val="24"/>
          <w:lang w:val="en-GB"/>
        </w:rPr>
      </w:pPr>
    </w:p>
    <w:p w:rsidR="00B24200" w:rsidRDefault="00B24200" w:rsidP="00E52815">
      <w:pPr>
        <w:pStyle w:val="ListParagraph"/>
        <w:spacing w:after="200" w:line="276" w:lineRule="auto"/>
        <w:jc w:val="both"/>
        <w:rPr>
          <w:rFonts w:ascii="Times New Roman" w:hAnsi="Times New Roman"/>
          <w:sz w:val="24"/>
          <w:lang w:val="en-GB"/>
        </w:rPr>
      </w:pPr>
    </w:p>
    <w:p w:rsidR="00E52815" w:rsidRDefault="00F409D2" w:rsidP="00E52815">
      <w:pPr>
        <w:pStyle w:val="ListParagraph"/>
        <w:spacing w:after="200" w:line="276" w:lineRule="auto"/>
        <w:jc w:val="both"/>
        <w:rPr>
          <w:rFonts w:ascii="Times New Roman" w:hAnsi="Times New Roman"/>
          <w:sz w:val="24"/>
          <w:lang w:val="en-GB"/>
        </w:rPr>
      </w:pPr>
      <w:r>
        <w:rPr>
          <w:rFonts w:ascii="Times New Roman" w:hAnsi="Times New Roman"/>
          <w:sz w:val="24"/>
          <w:lang w:val="en-GB"/>
        </w:rPr>
        <w:t>;</w:t>
      </w:r>
    </w:p>
    <w:p w:rsidR="00123FBE" w:rsidRPr="00C76639" w:rsidRDefault="00175D3E" w:rsidP="00CD6D0B">
      <w:pPr>
        <w:pStyle w:val="ListParagraph"/>
        <w:numPr>
          <w:ilvl w:val="0"/>
          <w:numId w:val="78"/>
        </w:numPr>
        <w:spacing w:after="200" w:line="276" w:lineRule="auto"/>
        <w:jc w:val="both"/>
        <w:rPr>
          <w:rFonts w:ascii="Times New Roman" w:hAnsi="Times New Roman"/>
          <w:sz w:val="24"/>
          <w:lang w:val="en-GB"/>
        </w:rPr>
      </w:pPr>
      <w:r w:rsidRPr="00C76639">
        <w:rPr>
          <w:rFonts w:ascii="Times New Roman" w:hAnsi="Times New Roman"/>
          <w:sz w:val="24"/>
          <w:lang w:val="en-GB"/>
        </w:rPr>
        <w:t xml:space="preserve">In </w:t>
      </w:r>
      <w:r w:rsidR="00216DB3" w:rsidRPr="00C76639">
        <w:rPr>
          <w:rFonts w:ascii="Times New Roman" w:hAnsi="Times New Roman"/>
          <w:sz w:val="24"/>
          <w:lang w:val="en-GB"/>
        </w:rPr>
        <w:t>template</w:t>
      </w:r>
      <w:r w:rsidR="00A049A5" w:rsidRPr="00C76639">
        <w:rPr>
          <w:rFonts w:ascii="Times New Roman" w:hAnsi="Times New Roman"/>
          <w:sz w:val="24"/>
          <w:lang w:val="en-GB"/>
        </w:rPr>
        <w:t xml:space="preserve"> </w:t>
      </w:r>
      <w:r w:rsidRPr="00C76639">
        <w:rPr>
          <w:rFonts w:ascii="Times New Roman" w:hAnsi="Times New Roman"/>
          <w:sz w:val="24"/>
          <w:lang w:val="en-GB"/>
        </w:rPr>
        <w:t xml:space="preserve">S.23.01.22.R0330 </w:t>
      </w:r>
      <w:r w:rsidR="00203C5A" w:rsidRPr="00C76639">
        <w:rPr>
          <w:rFonts w:ascii="Times New Roman" w:hAnsi="Times New Roman"/>
          <w:sz w:val="24"/>
          <w:lang w:val="en-GB"/>
        </w:rPr>
        <w:t>is</w:t>
      </w:r>
      <w:r w:rsidRPr="00C76639">
        <w:rPr>
          <w:rFonts w:ascii="Times New Roman" w:hAnsi="Times New Roman"/>
          <w:sz w:val="24"/>
          <w:lang w:val="en-GB"/>
        </w:rPr>
        <w:t xml:space="preserve"> </w:t>
      </w:r>
      <w:r w:rsidR="00D27403" w:rsidRPr="00C76639">
        <w:rPr>
          <w:rFonts w:ascii="Times New Roman" w:hAnsi="Times New Roman"/>
          <w:sz w:val="24"/>
          <w:lang w:val="en-GB"/>
        </w:rPr>
        <w:t>inserted</w:t>
      </w:r>
      <w:r w:rsidR="008C73EF" w:rsidRPr="00C76639">
        <w:rPr>
          <w:rFonts w:ascii="Times New Roman" w:hAnsi="Times New Roman"/>
          <w:sz w:val="24"/>
          <w:lang w:val="en-GB"/>
        </w:rPr>
        <w:t xml:space="preserve"> after R0320</w:t>
      </w:r>
      <w:r w:rsidRPr="00C76639">
        <w:rPr>
          <w:rFonts w:ascii="Times New Roman" w:hAnsi="Times New Roman"/>
          <w:sz w:val="24"/>
          <w:lang w:val="en-GB"/>
        </w:rPr>
        <w:t>:</w:t>
      </w:r>
    </w:p>
    <w:tbl>
      <w:tblPr>
        <w:tblpPr w:leftFromText="180" w:rightFromText="180" w:vertAnchor="text" w:horzAnchor="margin" w:tblpX="959" w:tblpY="63"/>
        <w:tblW w:w="8897" w:type="dxa"/>
        <w:tblLayout w:type="fixed"/>
        <w:tblLook w:val="04A0" w:firstRow="1" w:lastRow="0" w:firstColumn="1" w:lastColumn="0" w:noHBand="0" w:noVBand="1"/>
      </w:tblPr>
      <w:tblGrid>
        <w:gridCol w:w="4219"/>
        <w:gridCol w:w="992"/>
        <w:gridCol w:w="567"/>
        <w:gridCol w:w="768"/>
        <w:gridCol w:w="870"/>
        <w:gridCol w:w="870"/>
        <w:gridCol w:w="611"/>
      </w:tblGrid>
      <w:tr w:rsidR="00CD6D0B" w:rsidRPr="00D94C9E" w:rsidTr="004137C6">
        <w:trPr>
          <w:trHeight w:val="480"/>
        </w:trPr>
        <w:tc>
          <w:tcPr>
            <w:tcW w:w="4219" w:type="dxa"/>
            <w:tcBorders>
              <w:top w:val="nil"/>
              <w:left w:val="nil"/>
              <w:bottom w:val="nil"/>
              <w:right w:val="nil"/>
            </w:tcBorders>
            <w:shd w:val="clear" w:color="auto" w:fill="auto"/>
            <w:hideMark/>
          </w:tcPr>
          <w:p w:rsidR="00123FBE" w:rsidRPr="00D94C9E" w:rsidRDefault="00123FBE" w:rsidP="009028C9">
            <w:r w:rsidRPr="00D541B9">
              <w:rPr>
                <w:rFonts w:eastAsia="Calibri"/>
                <w:lang w:eastAsia="en-US"/>
              </w:rPr>
              <w:t>A legally binding commitment to subscribe and pay for subordinated liabilities on demand</w:t>
            </w:r>
          </w:p>
        </w:tc>
        <w:tc>
          <w:tcPr>
            <w:tcW w:w="992" w:type="dxa"/>
            <w:tcBorders>
              <w:top w:val="nil"/>
              <w:left w:val="nil"/>
              <w:bottom w:val="nil"/>
              <w:right w:val="single" w:sz="4" w:space="0" w:color="auto"/>
            </w:tcBorders>
            <w:shd w:val="clear" w:color="000000" w:fill="FFFFFF"/>
            <w:vAlign w:val="center"/>
            <w:hideMark/>
          </w:tcPr>
          <w:p w:rsidR="00123FBE" w:rsidRPr="00D94C9E" w:rsidRDefault="00123FBE" w:rsidP="009028C9">
            <w:pPr>
              <w:jc w:val="center"/>
              <w:rPr>
                <w:b/>
                <w:bCs/>
              </w:rPr>
            </w:pPr>
            <w:r w:rsidRPr="00D541B9">
              <w:rPr>
                <w:b/>
                <w:bCs/>
              </w:rPr>
              <w:t>R0330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23FBE" w:rsidRPr="00F23F46" w:rsidRDefault="00123FBE" w:rsidP="009028C9">
            <w:pPr>
              <w:jc w:val="center"/>
            </w:pPr>
            <w:r w:rsidRPr="00F23F46">
              <w:t> </w:t>
            </w:r>
          </w:p>
        </w:tc>
        <w:tc>
          <w:tcPr>
            <w:tcW w:w="76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000000" w:fill="FFFFFF"/>
            <w:vAlign w:val="center"/>
          </w:tcPr>
          <w:p w:rsidR="00123FBE" w:rsidRPr="00F23F46" w:rsidRDefault="00123FBE" w:rsidP="009028C9">
            <w:pPr>
              <w:jc w:val="center"/>
            </w:pPr>
            <w:r w:rsidRPr="00F23F46">
              <w:t> </w:t>
            </w:r>
          </w:p>
        </w:tc>
        <w:tc>
          <w:tcPr>
            <w:tcW w:w="87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000000" w:fill="FFFFFF"/>
            <w:vAlign w:val="center"/>
          </w:tcPr>
          <w:p w:rsidR="00123FBE" w:rsidRPr="00F23F46" w:rsidRDefault="00123FBE" w:rsidP="009028C9">
            <w:pPr>
              <w:jc w:val="center"/>
            </w:pPr>
            <w:r w:rsidRPr="00F23F46">
              <w:t> </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tcPr>
          <w:p w:rsidR="00123FBE" w:rsidRPr="00F23F46" w:rsidRDefault="00123FBE" w:rsidP="009028C9">
            <w:pPr>
              <w:jc w:val="center"/>
            </w:pPr>
            <w:r w:rsidRPr="00F23F46">
              <w:t> </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123FBE" w:rsidRPr="00F23F46" w:rsidRDefault="00123FBE" w:rsidP="009028C9">
            <w:pPr>
              <w:jc w:val="center"/>
            </w:pPr>
          </w:p>
        </w:tc>
      </w:tr>
    </w:tbl>
    <w:p w:rsidR="00123FBE" w:rsidRDefault="00123FBE" w:rsidP="005E22E1">
      <w:pPr>
        <w:pStyle w:val="ListParagraph"/>
        <w:spacing w:after="200" w:line="276" w:lineRule="auto"/>
        <w:jc w:val="both"/>
        <w:rPr>
          <w:rFonts w:ascii="Times New Roman" w:hAnsi="Times New Roman"/>
          <w:sz w:val="24"/>
          <w:lang w:val="en-GB"/>
        </w:rPr>
      </w:pPr>
    </w:p>
    <w:p w:rsidR="00123FBE" w:rsidRDefault="00123FBE" w:rsidP="005E22E1">
      <w:pPr>
        <w:pStyle w:val="ListParagraph"/>
        <w:spacing w:after="200" w:line="276" w:lineRule="auto"/>
        <w:jc w:val="both"/>
        <w:rPr>
          <w:rFonts w:ascii="Times New Roman" w:hAnsi="Times New Roman"/>
          <w:sz w:val="24"/>
          <w:lang w:val="en-GB"/>
        </w:rPr>
      </w:pPr>
    </w:p>
    <w:p w:rsidR="00123FBE" w:rsidRDefault="00123FBE" w:rsidP="005E22E1">
      <w:pPr>
        <w:pStyle w:val="ListParagraph"/>
        <w:spacing w:after="200" w:line="276" w:lineRule="auto"/>
        <w:jc w:val="both"/>
        <w:rPr>
          <w:rFonts w:ascii="Times New Roman" w:hAnsi="Times New Roman"/>
          <w:sz w:val="24"/>
          <w:lang w:val="en-GB"/>
        </w:rPr>
      </w:pPr>
    </w:p>
    <w:p w:rsidR="005E22E1" w:rsidRDefault="00F409D2" w:rsidP="005E22E1">
      <w:pPr>
        <w:pStyle w:val="ListParagraph"/>
        <w:spacing w:after="200" w:line="276" w:lineRule="auto"/>
        <w:jc w:val="both"/>
        <w:rPr>
          <w:rFonts w:ascii="Times New Roman" w:hAnsi="Times New Roman"/>
          <w:sz w:val="24"/>
          <w:lang w:val="en-GB"/>
        </w:rPr>
      </w:pPr>
      <w:r>
        <w:rPr>
          <w:rFonts w:ascii="Times New Roman" w:hAnsi="Times New Roman"/>
          <w:sz w:val="24"/>
          <w:lang w:val="en-GB"/>
        </w:rPr>
        <w:t>;</w:t>
      </w:r>
    </w:p>
    <w:p w:rsidR="00D94C9E" w:rsidRDefault="00D94C9E" w:rsidP="00573FCD">
      <w:pPr>
        <w:pStyle w:val="ListParagraph"/>
        <w:numPr>
          <w:ilvl w:val="0"/>
          <w:numId w:val="78"/>
        </w:numPr>
        <w:spacing w:after="200" w:line="276" w:lineRule="auto"/>
        <w:jc w:val="both"/>
        <w:rPr>
          <w:rFonts w:ascii="Times New Roman" w:hAnsi="Times New Roman"/>
          <w:sz w:val="24"/>
          <w:lang w:val="en-GB"/>
        </w:rPr>
      </w:pPr>
      <w:r>
        <w:rPr>
          <w:rFonts w:ascii="Times New Roman" w:hAnsi="Times New Roman"/>
          <w:sz w:val="24"/>
          <w:lang w:val="en-GB"/>
        </w:rPr>
        <w:t xml:space="preserve">In </w:t>
      </w:r>
      <w:r w:rsidR="00216DB3">
        <w:rPr>
          <w:rFonts w:ascii="Times New Roman" w:hAnsi="Times New Roman"/>
          <w:sz w:val="24"/>
          <w:lang w:val="en-GB"/>
        </w:rPr>
        <w:t>template</w:t>
      </w:r>
      <w:r w:rsidR="00A049A5">
        <w:rPr>
          <w:rFonts w:ascii="Times New Roman" w:hAnsi="Times New Roman"/>
          <w:sz w:val="24"/>
          <w:lang w:val="en-GB"/>
        </w:rPr>
        <w:t xml:space="preserve"> </w:t>
      </w:r>
      <w:r>
        <w:rPr>
          <w:rFonts w:ascii="Times New Roman" w:hAnsi="Times New Roman"/>
          <w:sz w:val="24"/>
          <w:lang w:val="en-GB"/>
        </w:rPr>
        <w:t>S.23.01.22.R03</w:t>
      </w:r>
      <w:r w:rsidR="00581437">
        <w:rPr>
          <w:rFonts w:ascii="Times New Roman" w:hAnsi="Times New Roman"/>
          <w:sz w:val="24"/>
          <w:lang w:val="en-GB"/>
        </w:rPr>
        <w:t>5</w:t>
      </w:r>
      <w:r>
        <w:rPr>
          <w:rFonts w:ascii="Times New Roman" w:hAnsi="Times New Roman"/>
          <w:sz w:val="24"/>
          <w:lang w:val="en-GB"/>
        </w:rPr>
        <w:t xml:space="preserve">0 </w:t>
      </w:r>
      <w:r w:rsidR="00581437">
        <w:rPr>
          <w:rFonts w:ascii="Times New Roman" w:hAnsi="Times New Roman"/>
          <w:sz w:val="24"/>
          <w:lang w:val="en-GB"/>
        </w:rPr>
        <w:t>and</w:t>
      </w:r>
      <w:r>
        <w:rPr>
          <w:rFonts w:ascii="Times New Roman" w:hAnsi="Times New Roman"/>
          <w:sz w:val="24"/>
          <w:lang w:val="en-GB"/>
        </w:rPr>
        <w:t xml:space="preserve"> </w:t>
      </w:r>
      <w:r w:rsidR="00314893">
        <w:rPr>
          <w:rFonts w:ascii="Times New Roman" w:hAnsi="Times New Roman"/>
          <w:sz w:val="24"/>
          <w:lang w:val="en-GB"/>
        </w:rPr>
        <w:t>S.23.01.22.</w:t>
      </w:r>
      <w:r>
        <w:rPr>
          <w:rFonts w:ascii="Times New Roman" w:hAnsi="Times New Roman"/>
          <w:sz w:val="24"/>
          <w:lang w:val="en-GB"/>
        </w:rPr>
        <w:t>R03</w:t>
      </w:r>
      <w:r w:rsidR="00581437">
        <w:rPr>
          <w:rFonts w:ascii="Times New Roman" w:hAnsi="Times New Roman"/>
          <w:sz w:val="24"/>
          <w:lang w:val="en-GB"/>
        </w:rPr>
        <w:t>4</w:t>
      </w:r>
      <w:r>
        <w:rPr>
          <w:rFonts w:ascii="Times New Roman" w:hAnsi="Times New Roman"/>
          <w:sz w:val="24"/>
          <w:lang w:val="en-GB"/>
        </w:rPr>
        <w:t>0 are replaced by the following</w:t>
      </w:r>
      <w:r w:rsidR="00C76639">
        <w:rPr>
          <w:rFonts w:ascii="Times New Roman" w:hAnsi="Times New Roman"/>
          <w:sz w:val="24"/>
          <w:lang w:val="en-GB"/>
        </w:rPr>
        <w:t xml:space="preserve"> rows</w:t>
      </w:r>
      <w:r>
        <w:rPr>
          <w:rFonts w:ascii="Times New Roman" w:hAnsi="Times New Roman"/>
          <w:sz w:val="24"/>
          <w:lang w:val="en-GB"/>
        </w:rPr>
        <w:t>:</w:t>
      </w:r>
    </w:p>
    <w:tbl>
      <w:tblPr>
        <w:tblW w:w="8930" w:type="dxa"/>
        <w:tblInd w:w="959" w:type="dxa"/>
        <w:tblLook w:val="04A0" w:firstRow="1" w:lastRow="0" w:firstColumn="1" w:lastColumn="0" w:noHBand="0" w:noVBand="1"/>
      </w:tblPr>
      <w:tblGrid>
        <w:gridCol w:w="4104"/>
        <w:gridCol w:w="1012"/>
        <w:gridCol w:w="666"/>
        <w:gridCol w:w="880"/>
        <w:gridCol w:w="709"/>
        <w:gridCol w:w="850"/>
        <w:gridCol w:w="709"/>
      </w:tblGrid>
      <w:tr w:rsidR="00BD441E" w:rsidRPr="003F1B7F" w:rsidTr="004137C6">
        <w:trPr>
          <w:trHeight w:val="225"/>
        </w:trPr>
        <w:tc>
          <w:tcPr>
            <w:tcW w:w="4104" w:type="dxa"/>
            <w:tcBorders>
              <w:top w:val="nil"/>
              <w:left w:val="nil"/>
              <w:bottom w:val="nil"/>
              <w:right w:val="nil"/>
            </w:tcBorders>
            <w:shd w:val="clear" w:color="auto" w:fill="auto"/>
            <w:hideMark/>
          </w:tcPr>
          <w:p w:rsidR="00BD441E" w:rsidRPr="003F1B7F" w:rsidRDefault="00BD441E" w:rsidP="00C866C9">
            <w:pPr>
              <w:ind w:firstLineChars="100" w:firstLine="240"/>
            </w:pPr>
            <w:r w:rsidRPr="005822EC">
              <w:t>Letters of credit and guarantees under Article 96(2) of the Directive 2009/138/EC</w:t>
            </w:r>
          </w:p>
        </w:tc>
        <w:tc>
          <w:tcPr>
            <w:tcW w:w="1012" w:type="dxa"/>
            <w:tcBorders>
              <w:top w:val="nil"/>
              <w:left w:val="nil"/>
              <w:bottom w:val="nil"/>
              <w:right w:val="nil"/>
            </w:tcBorders>
            <w:shd w:val="clear" w:color="auto" w:fill="auto"/>
            <w:vAlign w:val="center"/>
            <w:hideMark/>
          </w:tcPr>
          <w:p w:rsidR="00BD441E" w:rsidRPr="003F1B7F" w:rsidRDefault="00BD441E" w:rsidP="002941D3">
            <w:pPr>
              <w:jc w:val="center"/>
              <w:rPr>
                <w:b/>
                <w:bCs/>
              </w:rPr>
            </w:pPr>
            <w:r>
              <w:rPr>
                <w:b/>
                <w:bCs/>
              </w:rPr>
              <w:t>R034</w:t>
            </w:r>
            <w:r w:rsidRPr="003F1B7F">
              <w:rPr>
                <w:b/>
                <w:bCs/>
              </w:rPr>
              <w:t>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1E" w:rsidRPr="003F1B7F" w:rsidRDefault="00BD441E" w:rsidP="002941D3">
            <w:pPr>
              <w:jc w:val="center"/>
            </w:pPr>
          </w:p>
        </w:tc>
        <w:tc>
          <w:tcPr>
            <w:tcW w:w="88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BD441E" w:rsidRPr="003F1B7F" w:rsidRDefault="00BD441E" w:rsidP="002941D3">
            <w:pPr>
              <w:jc w:val="cente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BD441E" w:rsidRPr="003F1B7F" w:rsidRDefault="00BD441E" w:rsidP="002941D3">
            <w:pPr>
              <w:jc w:val="cente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D441E" w:rsidRPr="003F1B7F" w:rsidRDefault="00BD441E" w:rsidP="002941D3">
            <w:pPr>
              <w:jc w:val="cente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BD441E" w:rsidRPr="003F1B7F" w:rsidRDefault="00BD441E" w:rsidP="002941D3">
            <w:pPr>
              <w:jc w:val="center"/>
            </w:pPr>
          </w:p>
        </w:tc>
      </w:tr>
      <w:tr w:rsidR="00BD441E" w:rsidRPr="005822EC" w:rsidTr="004137C6">
        <w:trPr>
          <w:trHeight w:val="225"/>
        </w:trPr>
        <w:tc>
          <w:tcPr>
            <w:tcW w:w="4104" w:type="dxa"/>
            <w:tcBorders>
              <w:top w:val="nil"/>
              <w:left w:val="nil"/>
              <w:bottom w:val="nil"/>
              <w:right w:val="nil"/>
            </w:tcBorders>
            <w:shd w:val="clear" w:color="auto" w:fill="auto"/>
            <w:hideMark/>
          </w:tcPr>
          <w:p w:rsidR="00BD441E" w:rsidRPr="005822EC" w:rsidRDefault="00BD441E" w:rsidP="00C866C9">
            <w:pPr>
              <w:ind w:firstLineChars="100" w:firstLine="240"/>
            </w:pPr>
            <w:r w:rsidRPr="005822EC">
              <w:t>Letters of credit and guarantees other than under Article 96(2) of the Directive 2009/138/EC</w:t>
            </w:r>
          </w:p>
        </w:tc>
        <w:tc>
          <w:tcPr>
            <w:tcW w:w="1012" w:type="dxa"/>
            <w:tcBorders>
              <w:top w:val="nil"/>
              <w:left w:val="nil"/>
              <w:bottom w:val="nil"/>
              <w:right w:val="nil"/>
            </w:tcBorders>
            <w:shd w:val="clear" w:color="auto" w:fill="auto"/>
            <w:vAlign w:val="center"/>
            <w:hideMark/>
          </w:tcPr>
          <w:p w:rsidR="00BD441E" w:rsidRPr="005822EC" w:rsidRDefault="00BD441E" w:rsidP="002941D3">
            <w:pPr>
              <w:jc w:val="center"/>
              <w:rPr>
                <w:b/>
                <w:bCs/>
              </w:rPr>
            </w:pPr>
            <w:r>
              <w:rPr>
                <w:b/>
                <w:bCs/>
              </w:rPr>
              <w:t>R035</w:t>
            </w:r>
            <w:r w:rsidRPr="005822EC">
              <w:rPr>
                <w:b/>
                <w:bCs/>
              </w:rPr>
              <w:t>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41E" w:rsidRPr="005822EC" w:rsidRDefault="00BD441E" w:rsidP="002941D3">
            <w:pPr>
              <w:jc w:val="center"/>
            </w:pPr>
          </w:p>
        </w:tc>
        <w:tc>
          <w:tcPr>
            <w:tcW w:w="88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BD441E" w:rsidRPr="005822EC" w:rsidRDefault="00BD441E" w:rsidP="002941D3">
            <w:pPr>
              <w:jc w:val="cente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BD441E" w:rsidRPr="005822EC" w:rsidRDefault="00BD441E" w:rsidP="002941D3">
            <w:pPr>
              <w:jc w:val="cente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D441E" w:rsidRPr="005822EC" w:rsidRDefault="00BD441E" w:rsidP="002941D3">
            <w:pPr>
              <w:jc w:val="center"/>
            </w:pP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D441E" w:rsidRPr="005822EC" w:rsidRDefault="00BD441E" w:rsidP="002941D3">
            <w:pPr>
              <w:jc w:val="center"/>
            </w:pPr>
          </w:p>
        </w:tc>
      </w:tr>
    </w:tbl>
    <w:p w:rsidR="006B5D69" w:rsidRDefault="00F409D2" w:rsidP="00D94C9E">
      <w:pPr>
        <w:pStyle w:val="ListParagraph"/>
        <w:spacing w:after="200" w:line="276" w:lineRule="auto"/>
        <w:jc w:val="both"/>
        <w:rPr>
          <w:rFonts w:ascii="Times New Roman" w:hAnsi="Times New Roman"/>
          <w:sz w:val="24"/>
          <w:lang w:val="en-GB"/>
        </w:rPr>
      </w:pPr>
      <w:r>
        <w:rPr>
          <w:rFonts w:ascii="Times New Roman" w:hAnsi="Times New Roman"/>
          <w:sz w:val="24"/>
          <w:lang w:val="en-GB"/>
        </w:rPr>
        <w:t>;</w:t>
      </w:r>
    </w:p>
    <w:p w:rsidR="00175D3E" w:rsidRPr="00D541B9" w:rsidRDefault="00175D3E" w:rsidP="00573FCD">
      <w:pPr>
        <w:pStyle w:val="ListParagraph"/>
        <w:numPr>
          <w:ilvl w:val="0"/>
          <w:numId w:val="78"/>
        </w:numPr>
        <w:spacing w:after="200" w:line="276" w:lineRule="auto"/>
        <w:jc w:val="both"/>
        <w:rPr>
          <w:rFonts w:ascii="Times New Roman" w:hAnsi="Times New Roman"/>
          <w:sz w:val="24"/>
          <w:lang w:val="en-GB"/>
        </w:rPr>
      </w:pPr>
      <w:r w:rsidRPr="00D541B9">
        <w:rPr>
          <w:rFonts w:ascii="Times New Roman" w:hAnsi="Times New Roman"/>
          <w:sz w:val="24"/>
          <w:lang w:val="en-GB"/>
        </w:rPr>
        <w:t xml:space="preserve">In </w:t>
      </w:r>
      <w:r w:rsidR="00216DB3">
        <w:rPr>
          <w:rFonts w:ascii="Times New Roman" w:hAnsi="Times New Roman"/>
          <w:sz w:val="24"/>
          <w:lang w:val="en-GB"/>
        </w:rPr>
        <w:t>template</w:t>
      </w:r>
      <w:r w:rsidR="00A049A5">
        <w:rPr>
          <w:rFonts w:ascii="Times New Roman" w:hAnsi="Times New Roman"/>
          <w:sz w:val="24"/>
          <w:lang w:val="en-GB"/>
        </w:rPr>
        <w:t xml:space="preserve"> </w:t>
      </w:r>
      <w:r w:rsidRPr="00D541B9">
        <w:rPr>
          <w:rFonts w:ascii="Times New Roman" w:hAnsi="Times New Roman"/>
          <w:sz w:val="24"/>
          <w:lang w:val="en-GB"/>
        </w:rPr>
        <w:t>S.23.01.22.R0410 is replaced by the following</w:t>
      </w:r>
      <w:r w:rsidR="00C76639">
        <w:rPr>
          <w:rFonts w:ascii="Times New Roman" w:hAnsi="Times New Roman"/>
          <w:sz w:val="24"/>
          <w:lang w:val="en-GB"/>
        </w:rPr>
        <w:t xml:space="preserve"> row</w:t>
      </w:r>
      <w:r w:rsidRPr="00D541B9">
        <w:rPr>
          <w:rFonts w:ascii="Times New Roman" w:hAnsi="Times New Roman"/>
          <w:sz w:val="24"/>
          <w:lang w:val="en-GB"/>
        </w:rPr>
        <w:t>:</w:t>
      </w:r>
    </w:p>
    <w:tbl>
      <w:tblPr>
        <w:tblW w:w="890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992"/>
        <w:gridCol w:w="567"/>
        <w:gridCol w:w="973"/>
        <w:gridCol w:w="940"/>
        <w:gridCol w:w="660"/>
        <w:gridCol w:w="660"/>
      </w:tblGrid>
      <w:tr w:rsidR="00175D3E" w:rsidRPr="00F23F46" w:rsidTr="004137C6">
        <w:trPr>
          <w:trHeight w:val="480"/>
        </w:trPr>
        <w:tc>
          <w:tcPr>
            <w:tcW w:w="4111" w:type="dxa"/>
            <w:tcBorders>
              <w:top w:val="nil"/>
              <w:left w:val="nil"/>
              <w:bottom w:val="nil"/>
              <w:right w:val="nil"/>
            </w:tcBorders>
            <w:shd w:val="clear" w:color="auto" w:fill="auto"/>
            <w:hideMark/>
          </w:tcPr>
          <w:p w:rsidR="00175D3E" w:rsidRPr="00F23F46" w:rsidRDefault="00175D3E" w:rsidP="001F7039">
            <w:pPr>
              <w:spacing w:before="120"/>
            </w:pPr>
            <w:r w:rsidRPr="00F55C0C">
              <w:rPr>
                <w:rFonts w:eastAsia="Calibri"/>
                <w:lang w:eastAsia="en-US"/>
              </w:rPr>
              <w:t xml:space="preserve">Credit Institutions, investment firms, financial </w:t>
            </w:r>
            <w:r w:rsidR="005D7CC4" w:rsidRPr="00F55C0C">
              <w:rPr>
                <w:rFonts w:eastAsia="Calibri"/>
                <w:lang w:eastAsia="en-US"/>
              </w:rPr>
              <w:t>institutions</w:t>
            </w:r>
            <w:r w:rsidRPr="00F55C0C">
              <w:rPr>
                <w:rFonts w:eastAsia="Calibri"/>
                <w:lang w:eastAsia="en-US"/>
              </w:rPr>
              <w:t>, alternative investment fund manager, financial institutions</w:t>
            </w:r>
          </w:p>
        </w:tc>
        <w:tc>
          <w:tcPr>
            <w:tcW w:w="992" w:type="dxa"/>
            <w:tcBorders>
              <w:top w:val="nil"/>
              <w:left w:val="nil"/>
              <w:bottom w:val="nil"/>
              <w:right w:val="nil"/>
            </w:tcBorders>
            <w:shd w:val="clear" w:color="auto" w:fill="auto"/>
            <w:vAlign w:val="center"/>
            <w:hideMark/>
          </w:tcPr>
          <w:p w:rsidR="00175D3E" w:rsidRPr="00F23F46" w:rsidRDefault="00175D3E" w:rsidP="001F7039">
            <w:pPr>
              <w:jc w:val="center"/>
              <w:rPr>
                <w:b/>
                <w:bCs/>
              </w:rPr>
            </w:pPr>
            <w:r>
              <w:rPr>
                <w:b/>
                <w:bCs/>
              </w:rPr>
              <w:t>R041</w:t>
            </w:r>
            <w:r w:rsidRPr="00F23F46">
              <w:rPr>
                <w:b/>
                <w:bCs/>
              </w:rPr>
              <w:t>0</w:t>
            </w:r>
          </w:p>
        </w:tc>
        <w:tc>
          <w:tcPr>
            <w:tcW w:w="567" w:type="dxa"/>
            <w:tcBorders>
              <w:left w:val="nil"/>
            </w:tcBorders>
            <w:shd w:val="clear" w:color="auto" w:fill="auto"/>
            <w:noWrap/>
            <w:vAlign w:val="center"/>
            <w:hideMark/>
          </w:tcPr>
          <w:p w:rsidR="00175D3E" w:rsidRPr="00F23F46" w:rsidRDefault="00175D3E" w:rsidP="001F7039">
            <w:pPr>
              <w:jc w:val="center"/>
            </w:pPr>
            <w:r w:rsidRPr="00F23F46">
              <w:t> </w:t>
            </w:r>
          </w:p>
        </w:tc>
        <w:tc>
          <w:tcPr>
            <w:tcW w:w="973" w:type="dxa"/>
            <w:shd w:val="clear" w:color="auto" w:fill="auto"/>
            <w:noWrap/>
            <w:vAlign w:val="center"/>
            <w:hideMark/>
          </w:tcPr>
          <w:p w:rsidR="00175D3E" w:rsidRPr="00F23F46" w:rsidRDefault="00175D3E" w:rsidP="001F7039">
            <w:pPr>
              <w:jc w:val="center"/>
            </w:pPr>
            <w:r w:rsidRPr="00F23F46">
              <w:t> </w:t>
            </w:r>
          </w:p>
        </w:tc>
        <w:tc>
          <w:tcPr>
            <w:tcW w:w="940" w:type="dxa"/>
            <w:shd w:val="clear" w:color="auto" w:fill="auto"/>
            <w:noWrap/>
            <w:vAlign w:val="center"/>
            <w:hideMark/>
          </w:tcPr>
          <w:p w:rsidR="00175D3E" w:rsidRPr="00F23F46" w:rsidRDefault="00175D3E" w:rsidP="001F7039">
            <w:pPr>
              <w:jc w:val="center"/>
            </w:pPr>
            <w:r w:rsidRPr="00F23F46">
              <w:t> </w:t>
            </w:r>
          </w:p>
        </w:tc>
        <w:tc>
          <w:tcPr>
            <w:tcW w:w="660" w:type="dxa"/>
            <w:shd w:val="clear" w:color="auto" w:fill="auto"/>
            <w:noWrap/>
            <w:vAlign w:val="center"/>
            <w:hideMark/>
          </w:tcPr>
          <w:p w:rsidR="00175D3E" w:rsidRPr="00F23F46" w:rsidRDefault="00175D3E" w:rsidP="001F7039">
            <w:pPr>
              <w:jc w:val="center"/>
            </w:pPr>
            <w:r w:rsidRPr="00F23F46">
              <w:t> </w:t>
            </w:r>
          </w:p>
        </w:tc>
        <w:tc>
          <w:tcPr>
            <w:tcW w:w="660" w:type="dxa"/>
            <w:tcBorders>
              <w:tl2br w:val="single" w:sz="4" w:space="0" w:color="auto"/>
              <w:tr2bl w:val="single" w:sz="4" w:space="0" w:color="auto"/>
            </w:tcBorders>
            <w:shd w:val="clear" w:color="auto" w:fill="auto"/>
            <w:noWrap/>
            <w:vAlign w:val="center"/>
            <w:hideMark/>
          </w:tcPr>
          <w:p w:rsidR="00175D3E" w:rsidRPr="00F23F46" w:rsidRDefault="00175D3E" w:rsidP="001F7039">
            <w:pPr>
              <w:jc w:val="center"/>
            </w:pPr>
          </w:p>
        </w:tc>
      </w:tr>
    </w:tbl>
    <w:p w:rsidR="00F409D2" w:rsidRDefault="00F409D2" w:rsidP="006F600D">
      <w:pPr>
        <w:pStyle w:val="ListParagraph"/>
        <w:spacing w:after="200" w:line="276" w:lineRule="auto"/>
        <w:jc w:val="both"/>
        <w:rPr>
          <w:rFonts w:ascii="Times New Roman" w:hAnsi="Times New Roman"/>
          <w:sz w:val="24"/>
          <w:lang w:val="en-GB"/>
        </w:rPr>
      </w:pPr>
      <w:r>
        <w:rPr>
          <w:rFonts w:ascii="Times New Roman" w:hAnsi="Times New Roman"/>
          <w:sz w:val="24"/>
          <w:lang w:val="en-GB"/>
        </w:rPr>
        <w:t>;</w:t>
      </w:r>
    </w:p>
    <w:p w:rsidR="00184D26" w:rsidRPr="00F23F46" w:rsidRDefault="00184D26" w:rsidP="00573FCD">
      <w:pPr>
        <w:pStyle w:val="ListParagraph"/>
        <w:numPr>
          <w:ilvl w:val="0"/>
          <w:numId w:val="78"/>
        </w:numPr>
        <w:spacing w:after="200" w:line="276" w:lineRule="auto"/>
        <w:jc w:val="both"/>
        <w:rPr>
          <w:rFonts w:ascii="Times New Roman" w:hAnsi="Times New Roman"/>
          <w:sz w:val="24"/>
          <w:lang w:val="en-GB"/>
        </w:rPr>
      </w:pPr>
      <w:r w:rsidRPr="00F23F46">
        <w:rPr>
          <w:rFonts w:ascii="Times New Roman" w:hAnsi="Times New Roman"/>
          <w:sz w:val="24"/>
          <w:lang w:val="en-GB"/>
        </w:rPr>
        <w:t xml:space="preserve">In </w:t>
      </w:r>
      <w:r w:rsidR="00216DB3">
        <w:rPr>
          <w:rFonts w:ascii="Times New Roman" w:hAnsi="Times New Roman"/>
          <w:sz w:val="24"/>
          <w:lang w:val="en-GB"/>
        </w:rPr>
        <w:t>template</w:t>
      </w:r>
      <w:r w:rsidR="00A049A5">
        <w:rPr>
          <w:rFonts w:ascii="Times New Roman" w:hAnsi="Times New Roman"/>
          <w:sz w:val="24"/>
          <w:lang w:val="en-GB"/>
        </w:rPr>
        <w:t xml:space="preserve"> </w:t>
      </w:r>
      <w:r w:rsidRPr="00F23F46">
        <w:rPr>
          <w:rFonts w:ascii="Times New Roman" w:hAnsi="Times New Roman"/>
          <w:sz w:val="24"/>
          <w:lang w:val="en-GB"/>
        </w:rPr>
        <w:t>S.23.01.22.R0440 is replaced by the following</w:t>
      </w:r>
      <w:r w:rsidR="00C76639">
        <w:rPr>
          <w:rFonts w:ascii="Times New Roman" w:hAnsi="Times New Roman"/>
          <w:sz w:val="24"/>
          <w:lang w:val="en-GB"/>
        </w:rPr>
        <w:t xml:space="preserve"> row</w:t>
      </w:r>
      <w:r w:rsidRPr="00F23F46">
        <w:rPr>
          <w:rFonts w:ascii="Times New Roman" w:hAnsi="Times New Roman"/>
          <w:sz w:val="24"/>
          <w:lang w:val="en-GB"/>
        </w:rPr>
        <w:t>:</w:t>
      </w:r>
    </w:p>
    <w:tbl>
      <w:tblPr>
        <w:tblW w:w="890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840"/>
        <w:gridCol w:w="660"/>
        <w:gridCol w:w="1180"/>
        <w:gridCol w:w="940"/>
        <w:gridCol w:w="660"/>
        <w:gridCol w:w="660"/>
      </w:tblGrid>
      <w:tr w:rsidR="00184D26" w:rsidRPr="00E6045B" w:rsidTr="004137C6">
        <w:trPr>
          <w:trHeight w:val="480"/>
        </w:trPr>
        <w:tc>
          <w:tcPr>
            <w:tcW w:w="3963" w:type="dxa"/>
            <w:tcBorders>
              <w:top w:val="nil"/>
              <w:left w:val="nil"/>
              <w:bottom w:val="nil"/>
              <w:right w:val="nil"/>
            </w:tcBorders>
            <w:shd w:val="clear" w:color="auto" w:fill="auto"/>
            <w:hideMark/>
          </w:tcPr>
          <w:p w:rsidR="00184D26" w:rsidRPr="00E6045B" w:rsidRDefault="00184D26" w:rsidP="00415398">
            <w:pPr>
              <w:spacing w:before="120"/>
              <w:ind w:firstLine="200"/>
              <w:rPr>
                <w:sz w:val="20"/>
                <w:szCs w:val="20"/>
              </w:rPr>
            </w:pPr>
            <w:r w:rsidRPr="004137C6">
              <w:rPr>
                <w:rFonts w:eastAsia="Calibri"/>
                <w:lang w:eastAsia="en-US"/>
              </w:rPr>
              <w:t>Total own funds of other financial sectors</w:t>
            </w:r>
          </w:p>
        </w:tc>
        <w:tc>
          <w:tcPr>
            <w:tcW w:w="840" w:type="dxa"/>
            <w:tcBorders>
              <w:top w:val="nil"/>
              <w:left w:val="nil"/>
              <w:bottom w:val="nil"/>
              <w:right w:val="nil"/>
            </w:tcBorders>
            <w:shd w:val="clear" w:color="auto" w:fill="auto"/>
            <w:vAlign w:val="center"/>
            <w:hideMark/>
          </w:tcPr>
          <w:p w:rsidR="00184D26" w:rsidRPr="00E6045B" w:rsidRDefault="00184D26" w:rsidP="00415398">
            <w:pPr>
              <w:jc w:val="center"/>
              <w:rPr>
                <w:b/>
                <w:bCs/>
                <w:sz w:val="20"/>
                <w:szCs w:val="20"/>
              </w:rPr>
            </w:pPr>
            <w:r w:rsidRPr="00E6045B">
              <w:rPr>
                <w:b/>
                <w:bCs/>
                <w:sz w:val="20"/>
                <w:szCs w:val="20"/>
              </w:rPr>
              <w:t>R0440</w:t>
            </w:r>
          </w:p>
        </w:tc>
        <w:tc>
          <w:tcPr>
            <w:tcW w:w="660" w:type="dxa"/>
            <w:tcBorders>
              <w:left w:val="nil"/>
            </w:tcBorders>
            <w:shd w:val="clear" w:color="auto" w:fill="auto"/>
            <w:noWrap/>
            <w:vAlign w:val="center"/>
            <w:hideMark/>
          </w:tcPr>
          <w:p w:rsidR="00184D26" w:rsidRPr="00E6045B" w:rsidRDefault="00184D26" w:rsidP="00415398">
            <w:pPr>
              <w:jc w:val="center"/>
              <w:rPr>
                <w:sz w:val="20"/>
                <w:szCs w:val="20"/>
              </w:rPr>
            </w:pPr>
            <w:r w:rsidRPr="00E6045B">
              <w:rPr>
                <w:sz w:val="20"/>
                <w:szCs w:val="20"/>
              </w:rPr>
              <w:t> </w:t>
            </w:r>
          </w:p>
        </w:tc>
        <w:tc>
          <w:tcPr>
            <w:tcW w:w="1180" w:type="dxa"/>
            <w:shd w:val="clear" w:color="auto" w:fill="auto"/>
            <w:noWrap/>
            <w:vAlign w:val="center"/>
            <w:hideMark/>
          </w:tcPr>
          <w:p w:rsidR="00184D26" w:rsidRPr="00E6045B" w:rsidRDefault="00184D26" w:rsidP="00415398">
            <w:pPr>
              <w:jc w:val="center"/>
              <w:rPr>
                <w:sz w:val="20"/>
                <w:szCs w:val="20"/>
              </w:rPr>
            </w:pPr>
            <w:r w:rsidRPr="00E6045B">
              <w:rPr>
                <w:sz w:val="20"/>
                <w:szCs w:val="20"/>
              </w:rPr>
              <w:t> </w:t>
            </w:r>
          </w:p>
        </w:tc>
        <w:tc>
          <w:tcPr>
            <w:tcW w:w="940" w:type="dxa"/>
            <w:shd w:val="clear" w:color="auto" w:fill="auto"/>
            <w:noWrap/>
            <w:vAlign w:val="center"/>
            <w:hideMark/>
          </w:tcPr>
          <w:p w:rsidR="00184D26" w:rsidRPr="00E6045B" w:rsidRDefault="00184D26" w:rsidP="00415398">
            <w:pPr>
              <w:jc w:val="center"/>
              <w:rPr>
                <w:sz w:val="20"/>
                <w:szCs w:val="20"/>
              </w:rPr>
            </w:pPr>
            <w:r w:rsidRPr="00E6045B">
              <w:rPr>
                <w:sz w:val="20"/>
                <w:szCs w:val="20"/>
              </w:rPr>
              <w:t> </w:t>
            </w:r>
          </w:p>
        </w:tc>
        <w:tc>
          <w:tcPr>
            <w:tcW w:w="660" w:type="dxa"/>
            <w:shd w:val="clear" w:color="auto" w:fill="auto"/>
            <w:noWrap/>
            <w:vAlign w:val="center"/>
            <w:hideMark/>
          </w:tcPr>
          <w:p w:rsidR="00184D26" w:rsidRPr="00E6045B" w:rsidRDefault="00184D26" w:rsidP="00415398">
            <w:pPr>
              <w:jc w:val="center"/>
              <w:rPr>
                <w:sz w:val="20"/>
                <w:szCs w:val="20"/>
              </w:rPr>
            </w:pPr>
            <w:r w:rsidRPr="00E6045B">
              <w:rPr>
                <w:sz w:val="20"/>
                <w:szCs w:val="20"/>
              </w:rPr>
              <w:t> </w:t>
            </w:r>
          </w:p>
        </w:tc>
        <w:tc>
          <w:tcPr>
            <w:tcW w:w="660" w:type="dxa"/>
            <w:shd w:val="clear" w:color="auto" w:fill="auto"/>
            <w:noWrap/>
            <w:vAlign w:val="center"/>
            <w:hideMark/>
          </w:tcPr>
          <w:p w:rsidR="00184D26" w:rsidRPr="00E6045B" w:rsidRDefault="00184D26" w:rsidP="00415398">
            <w:pPr>
              <w:jc w:val="center"/>
              <w:rPr>
                <w:sz w:val="20"/>
                <w:szCs w:val="20"/>
              </w:rPr>
            </w:pPr>
            <w:r w:rsidRPr="00E6045B">
              <w:rPr>
                <w:sz w:val="20"/>
                <w:szCs w:val="20"/>
              </w:rPr>
              <w:t> </w:t>
            </w:r>
          </w:p>
        </w:tc>
      </w:tr>
    </w:tbl>
    <w:p w:rsidR="00F409D2" w:rsidRDefault="00F409D2" w:rsidP="006F600D">
      <w:pPr>
        <w:pStyle w:val="ListParagraph"/>
        <w:spacing w:after="200" w:line="276" w:lineRule="auto"/>
        <w:jc w:val="both"/>
        <w:rPr>
          <w:rFonts w:ascii="Times New Roman" w:hAnsi="Times New Roman"/>
          <w:sz w:val="24"/>
          <w:lang w:val="en-GB"/>
        </w:rPr>
      </w:pPr>
      <w:r>
        <w:rPr>
          <w:rFonts w:ascii="Times New Roman" w:hAnsi="Times New Roman"/>
          <w:sz w:val="24"/>
          <w:lang w:val="en-GB"/>
        </w:rPr>
        <w:t>;</w:t>
      </w:r>
    </w:p>
    <w:p w:rsidR="006B5D69" w:rsidRPr="00D541B9" w:rsidRDefault="006B5D69" w:rsidP="00573FCD">
      <w:pPr>
        <w:pStyle w:val="ListParagraph"/>
        <w:numPr>
          <w:ilvl w:val="0"/>
          <w:numId w:val="78"/>
        </w:numPr>
        <w:spacing w:after="200" w:line="276" w:lineRule="auto"/>
        <w:jc w:val="both"/>
        <w:rPr>
          <w:rFonts w:ascii="Times New Roman" w:hAnsi="Times New Roman"/>
          <w:sz w:val="24"/>
          <w:lang w:val="en-GB"/>
        </w:rPr>
      </w:pPr>
      <w:r w:rsidRPr="00D541B9">
        <w:rPr>
          <w:rFonts w:ascii="Times New Roman" w:hAnsi="Times New Roman"/>
          <w:sz w:val="24"/>
          <w:lang w:val="en-GB"/>
        </w:rPr>
        <w:t xml:space="preserve">In </w:t>
      </w:r>
      <w:r w:rsidR="00216DB3">
        <w:rPr>
          <w:rFonts w:ascii="Times New Roman" w:hAnsi="Times New Roman"/>
          <w:sz w:val="24"/>
          <w:lang w:val="en-GB"/>
        </w:rPr>
        <w:t>template</w:t>
      </w:r>
      <w:r w:rsidR="00A049A5">
        <w:rPr>
          <w:rFonts w:ascii="Times New Roman" w:hAnsi="Times New Roman"/>
          <w:sz w:val="24"/>
          <w:lang w:val="en-GB"/>
        </w:rPr>
        <w:t xml:space="preserve"> </w:t>
      </w:r>
      <w:r w:rsidRPr="00D541B9">
        <w:rPr>
          <w:rFonts w:ascii="Times New Roman" w:hAnsi="Times New Roman"/>
          <w:sz w:val="24"/>
          <w:lang w:val="en-GB"/>
        </w:rPr>
        <w:t>S.23.01.22.R0</w:t>
      </w:r>
      <w:r>
        <w:rPr>
          <w:rFonts w:ascii="Times New Roman" w:hAnsi="Times New Roman"/>
          <w:sz w:val="24"/>
          <w:lang w:val="en-GB"/>
        </w:rPr>
        <w:t>77</w:t>
      </w:r>
      <w:r w:rsidRPr="00D541B9">
        <w:rPr>
          <w:rFonts w:ascii="Times New Roman" w:hAnsi="Times New Roman"/>
          <w:sz w:val="24"/>
          <w:lang w:val="en-GB"/>
        </w:rPr>
        <w:t>0 is replaced by the following</w:t>
      </w:r>
      <w:r w:rsidR="00C76639">
        <w:rPr>
          <w:rFonts w:ascii="Times New Roman" w:hAnsi="Times New Roman"/>
          <w:sz w:val="24"/>
          <w:lang w:val="en-GB"/>
        </w:rPr>
        <w:t xml:space="preserve"> row</w:t>
      </w:r>
      <w:r w:rsidRPr="00D541B9">
        <w:rPr>
          <w:rFonts w:ascii="Times New Roman" w:hAnsi="Times New Roman"/>
          <w:sz w:val="24"/>
          <w:lang w:val="en-GB"/>
        </w:rPr>
        <w:t>:</w:t>
      </w:r>
    </w:p>
    <w:tbl>
      <w:tblPr>
        <w:tblW w:w="8987" w:type="dxa"/>
        <w:tblInd w:w="959" w:type="dxa"/>
        <w:tblLook w:val="04A0" w:firstRow="1" w:lastRow="0" w:firstColumn="1" w:lastColumn="0" w:noHBand="0" w:noVBand="1"/>
      </w:tblPr>
      <w:tblGrid>
        <w:gridCol w:w="3969"/>
        <w:gridCol w:w="870"/>
        <w:gridCol w:w="689"/>
        <w:gridCol w:w="1190"/>
        <w:gridCol w:w="826"/>
        <w:gridCol w:w="731"/>
        <w:gridCol w:w="712"/>
      </w:tblGrid>
      <w:tr w:rsidR="006B5D69" w:rsidRPr="006B5D69" w:rsidTr="004137C6">
        <w:trPr>
          <w:trHeight w:val="225"/>
        </w:trPr>
        <w:tc>
          <w:tcPr>
            <w:tcW w:w="3969" w:type="dxa"/>
            <w:tcBorders>
              <w:top w:val="nil"/>
              <w:left w:val="nil"/>
              <w:bottom w:val="nil"/>
              <w:right w:val="nil"/>
            </w:tcBorders>
            <w:shd w:val="clear" w:color="auto" w:fill="auto"/>
            <w:noWrap/>
            <w:hideMark/>
          </w:tcPr>
          <w:p w:rsidR="006B5D69" w:rsidRPr="006B5D69" w:rsidRDefault="006B5D69" w:rsidP="00C866C9">
            <w:pPr>
              <w:ind w:firstLineChars="100" w:firstLine="240"/>
            </w:pPr>
            <w:r w:rsidRPr="006B5D69">
              <w:t>Expected profits included in future premiums (EPIFP) - Life business</w:t>
            </w:r>
          </w:p>
        </w:tc>
        <w:tc>
          <w:tcPr>
            <w:tcW w:w="870" w:type="dxa"/>
            <w:tcBorders>
              <w:top w:val="nil"/>
              <w:left w:val="nil"/>
              <w:bottom w:val="nil"/>
              <w:right w:val="nil"/>
            </w:tcBorders>
            <w:shd w:val="clear" w:color="auto" w:fill="auto"/>
            <w:vAlign w:val="center"/>
            <w:hideMark/>
          </w:tcPr>
          <w:p w:rsidR="006B5D69" w:rsidRPr="006B5D69" w:rsidRDefault="006B5D69" w:rsidP="006B5D69">
            <w:pPr>
              <w:jc w:val="center"/>
              <w:rPr>
                <w:b/>
                <w:bCs/>
              </w:rPr>
            </w:pPr>
            <w:r w:rsidRPr="006B5D69">
              <w:rPr>
                <w:b/>
                <w:bCs/>
              </w:rPr>
              <w:t>R07</w:t>
            </w:r>
            <w:r>
              <w:rPr>
                <w:b/>
                <w:bCs/>
              </w:rPr>
              <w:t>7</w:t>
            </w:r>
            <w:r w:rsidRPr="006B5D69">
              <w:rPr>
                <w:b/>
                <w:bCs/>
              </w:rPr>
              <w:t>0</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D69" w:rsidRPr="006B5D69" w:rsidRDefault="006B5D69" w:rsidP="006B5D69">
            <w:pPr>
              <w:jc w:val="center"/>
            </w:pPr>
          </w:p>
        </w:tc>
        <w:tc>
          <w:tcPr>
            <w:tcW w:w="119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B5D69" w:rsidRPr="006B5D69" w:rsidRDefault="006B5D69" w:rsidP="006B5D69">
            <w:pPr>
              <w:jc w:val="center"/>
            </w:pPr>
          </w:p>
        </w:tc>
        <w:tc>
          <w:tcPr>
            <w:tcW w:w="826"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B5D69" w:rsidRPr="006B5D69" w:rsidRDefault="006B5D69" w:rsidP="006B5D69">
            <w:pPr>
              <w:jc w:val="center"/>
            </w:pPr>
          </w:p>
        </w:tc>
        <w:tc>
          <w:tcPr>
            <w:tcW w:w="731"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B5D69" w:rsidRPr="006B5D69" w:rsidRDefault="006B5D69" w:rsidP="006B5D69">
            <w:pPr>
              <w:jc w:val="center"/>
            </w:pPr>
          </w:p>
        </w:tc>
        <w:tc>
          <w:tcPr>
            <w:tcW w:w="71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B5D69" w:rsidRPr="006B5D69" w:rsidRDefault="006B5D69" w:rsidP="006B5D69">
            <w:pPr>
              <w:jc w:val="center"/>
            </w:pPr>
          </w:p>
        </w:tc>
      </w:tr>
    </w:tbl>
    <w:p w:rsidR="00F409D2" w:rsidRDefault="00F409D2" w:rsidP="006F600D">
      <w:pPr>
        <w:pStyle w:val="ListParagraph"/>
        <w:spacing w:after="200" w:line="276" w:lineRule="auto"/>
        <w:jc w:val="both"/>
        <w:rPr>
          <w:rFonts w:ascii="Times New Roman" w:hAnsi="Times New Roman"/>
          <w:sz w:val="24"/>
          <w:lang w:val="en-GB"/>
        </w:rPr>
      </w:pPr>
      <w:r>
        <w:rPr>
          <w:rFonts w:ascii="Times New Roman" w:hAnsi="Times New Roman"/>
          <w:sz w:val="24"/>
          <w:lang w:val="en-GB"/>
        </w:rPr>
        <w:t>;</w:t>
      </w:r>
    </w:p>
    <w:p w:rsidR="006B5D69" w:rsidRDefault="006B5D69" w:rsidP="00573FCD">
      <w:pPr>
        <w:pStyle w:val="ListParagraph"/>
        <w:numPr>
          <w:ilvl w:val="0"/>
          <w:numId w:val="78"/>
        </w:numPr>
        <w:spacing w:after="200" w:line="276" w:lineRule="auto"/>
        <w:jc w:val="both"/>
        <w:rPr>
          <w:rFonts w:ascii="Times New Roman" w:hAnsi="Times New Roman"/>
          <w:sz w:val="24"/>
          <w:lang w:val="en-GB"/>
        </w:rPr>
      </w:pPr>
      <w:r w:rsidRPr="00D541B9">
        <w:rPr>
          <w:rFonts w:ascii="Times New Roman" w:hAnsi="Times New Roman"/>
          <w:sz w:val="24"/>
          <w:lang w:val="en-GB"/>
        </w:rPr>
        <w:t xml:space="preserve">In </w:t>
      </w:r>
      <w:r w:rsidR="00216DB3">
        <w:rPr>
          <w:rFonts w:ascii="Times New Roman" w:hAnsi="Times New Roman"/>
          <w:sz w:val="24"/>
          <w:lang w:val="en-GB"/>
        </w:rPr>
        <w:t>template</w:t>
      </w:r>
      <w:r w:rsidR="00A049A5">
        <w:rPr>
          <w:rFonts w:ascii="Times New Roman" w:hAnsi="Times New Roman"/>
          <w:sz w:val="24"/>
          <w:lang w:val="en-GB"/>
        </w:rPr>
        <w:t xml:space="preserve"> </w:t>
      </w:r>
      <w:r w:rsidRPr="00D541B9">
        <w:rPr>
          <w:rFonts w:ascii="Times New Roman" w:hAnsi="Times New Roman"/>
          <w:sz w:val="24"/>
          <w:lang w:val="en-GB"/>
        </w:rPr>
        <w:t>S.23.01.22.R0</w:t>
      </w:r>
      <w:r>
        <w:rPr>
          <w:rFonts w:ascii="Times New Roman" w:hAnsi="Times New Roman"/>
          <w:sz w:val="24"/>
          <w:lang w:val="en-GB"/>
        </w:rPr>
        <w:t>78</w:t>
      </w:r>
      <w:r w:rsidRPr="00D541B9">
        <w:rPr>
          <w:rFonts w:ascii="Times New Roman" w:hAnsi="Times New Roman"/>
          <w:sz w:val="24"/>
          <w:lang w:val="en-GB"/>
        </w:rPr>
        <w:t>0 is replaced by the following</w:t>
      </w:r>
      <w:r w:rsidR="00C76639">
        <w:rPr>
          <w:rFonts w:ascii="Times New Roman" w:hAnsi="Times New Roman"/>
          <w:sz w:val="24"/>
          <w:lang w:val="en-GB"/>
        </w:rPr>
        <w:t xml:space="preserve"> row</w:t>
      </w:r>
      <w:r w:rsidRPr="00D541B9">
        <w:rPr>
          <w:rFonts w:ascii="Times New Roman" w:hAnsi="Times New Roman"/>
          <w:sz w:val="24"/>
          <w:lang w:val="en-GB"/>
        </w:rPr>
        <w:t>:</w:t>
      </w:r>
    </w:p>
    <w:tbl>
      <w:tblPr>
        <w:tblW w:w="8987" w:type="dxa"/>
        <w:tblInd w:w="959" w:type="dxa"/>
        <w:tblLook w:val="04A0" w:firstRow="1" w:lastRow="0" w:firstColumn="1" w:lastColumn="0" w:noHBand="0" w:noVBand="1"/>
      </w:tblPr>
      <w:tblGrid>
        <w:gridCol w:w="3969"/>
        <w:gridCol w:w="870"/>
        <w:gridCol w:w="689"/>
        <w:gridCol w:w="1191"/>
        <w:gridCol w:w="825"/>
        <w:gridCol w:w="731"/>
        <w:gridCol w:w="712"/>
      </w:tblGrid>
      <w:tr w:rsidR="006B5D69" w:rsidRPr="006B5D69" w:rsidTr="004137C6">
        <w:trPr>
          <w:trHeight w:val="225"/>
        </w:trPr>
        <w:tc>
          <w:tcPr>
            <w:tcW w:w="3969" w:type="dxa"/>
            <w:tcBorders>
              <w:top w:val="nil"/>
              <w:left w:val="nil"/>
              <w:bottom w:val="nil"/>
              <w:right w:val="nil"/>
            </w:tcBorders>
            <w:shd w:val="clear" w:color="auto" w:fill="auto"/>
            <w:noWrap/>
            <w:hideMark/>
          </w:tcPr>
          <w:p w:rsidR="006B5D69" w:rsidRPr="006B5D69" w:rsidRDefault="006B5D69" w:rsidP="00C866C9">
            <w:pPr>
              <w:ind w:firstLineChars="100" w:firstLine="240"/>
            </w:pPr>
            <w:r w:rsidRPr="006B5D69">
              <w:t>Expected profits included in future premiums (EPIFP) - Non- life business</w:t>
            </w:r>
          </w:p>
        </w:tc>
        <w:tc>
          <w:tcPr>
            <w:tcW w:w="870" w:type="dxa"/>
            <w:tcBorders>
              <w:top w:val="nil"/>
              <w:left w:val="nil"/>
              <w:bottom w:val="nil"/>
              <w:right w:val="nil"/>
            </w:tcBorders>
            <w:shd w:val="clear" w:color="auto" w:fill="auto"/>
            <w:vAlign w:val="center"/>
            <w:hideMark/>
          </w:tcPr>
          <w:p w:rsidR="006B5D69" w:rsidRPr="006B5D69" w:rsidRDefault="006B5D69" w:rsidP="002941D3">
            <w:pPr>
              <w:jc w:val="center"/>
              <w:rPr>
                <w:b/>
                <w:bCs/>
              </w:rPr>
            </w:pPr>
            <w:r w:rsidRPr="006B5D69">
              <w:rPr>
                <w:b/>
                <w:bCs/>
              </w:rPr>
              <w:t>R07</w:t>
            </w:r>
            <w:r>
              <w:rPr>
                <w:b/>
                <w:bCs/>
              </w:rPr>
              <w:t>8</w:t>
            </w:r>
            <w:r w:rsidRPr="006B5D69">
              <w:rPr>
                <w:b/>
                <w:bCs/>
              </w:rPr>
              <w:t>0</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D69" w:rsidRPr="006B5D69" w:rsidRDefault="006B5D69" w:rsidP="002941D3">
            <w:pPr>
              <w:jc w:val="center"/>
            </w:pPr>
          </w:p>
        </w:tc>
        <w:tc>
          <w:tcPr>
            <w:tcW w:w="1191"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B5D69" w:rsidRPr="006B5D69" w:rsidRDefault="006B5D69" w:rsidP="002941D3">
            <w:pPr>
              <w:jc w:val="center"/>
            </w:pPr>
          </w:p>
        </w:tc>
        <w:tc>
          <w:tcPr>
            <w:tcW w:w="825"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B5D69" w:rsidRPr="006B5D69" w:rsidRDefault="006B5D69" w:rsidP="002941D3">
            <w:pPr>
              <w:jc w:val="center"/>
            </w:pPr>
          </w:p>
        </w:tc>
        <w:tc>
          <w:tcPr>
            <w:tcW w:w="731"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B5D69" w:rsidRPr="006B5D69" w:rsidRDefault="006B5D69" w:rsidP="002941D3">
            <w:pPr>
              <w:jc w:val="center"/>
            </w:pPr>
          </w:p>
        </w:tc>
        <w:tc>
          <w:tcPr>
            <w:tcW w:w="71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B5D69" w:rsidRPr="006B5D69" w:rsidRDefault="006B5D69" w:rsidP="002941D3">
            <w:pPr>
              <w:jc w:val="center"/>
            </w:pPr>
          </w:p>
        </w:tc>
      </w:tr>
    </w:tbl>
    <w:p w:rsidR="00573FCD" w:rsidRDefault="00F409D2" w:rsidP="00573FCD">
      <w:pPr>
        <w:pStyle w:val="ListParagraph"/>
        <w:spacing w:after="200" w:line="276" w:lineRule="auto"/>
        <w:jc w:val="both"/>
        <w:rPr>
          <w:rFonts w:ascii="Times New Roman" w:hAnsi="Times New Roman"/>
          <w:sz w:val="24"/>
          <w:lang w:val="en-GB"/>
        </w:rPr>
      </w:pPr>
      <w:r>
        <w:rPr>
          <w:rFonts w:ascii="Times New Roman" w:hAnsi="Times New Roman"/>
          <w:sz w:val="24"/>
          <w:lang w:val="en-GB"/>
        </w:rPr>
        <w:t>;</w:t>
      </w:r>
    </w:p>
    <w:p w:rsidR="006B5D69" w:rsidRDefault="006B5D69" w:rsidP="00573FCD">
      <w:pPr>
        <w:pStyle w:val="ListParagraph"/>
        <w:numPr>
          <w:ilvl w:val="0"/>
          <w:numId w:val="78"/>
        </w:numPr>
        <w:spacing w:after="200" w:line="276" w:lineRule="auto"/>
        <w:jc w:val="both"/>
        <w:rPr>
          <w:rFonts w:ascii="Times New Roman" w:hAnsi="Times New Roman"/>
          <w:sz w:val="24"/>
          <w:lang w:val="en-GB"/>
        </w:rPr>
      </w:pPr>
      <w:r w:rsidRPr="00D541B9">
        <w:rPr>
          <w:rFonts w:ascii="Times New Roman" w:hAnsi="Times New Roman"/>
          <w:sz w:val="24"/>
          <w:lang w:val="en-GB"/>
        </w:rPr>
        <w:t xml:space="preserve">In </w:t>
      </w:r>
      <w:r w:rsidR="00216DB3">
        <w:rPr>
          <w:rFonts w:ascii="Times New Roman" w:hAnsi="Times New Roman"/>
          <w:sz w:val="24"/>
          <w:lang w:val="en-GB"/>
        </w:rPr>
        <w:t>template</w:t>
      </w:r>
      <w:r w:rsidR="00A049A5">
        <w:rPr>
          <w:rFonts w:ascii="Times New Roman" w:hAnsi="Times New Roman"/>
          <w:sz w:val="24"/>
          <w:lang w:val="en-GB"/>
        </w:rPr>
        <w:t xml:space="preserve"> </w:t>
      </w:r>
      <w:r w:rsidRPr="00D541B9">
        <w:rPr>
          <w:rFonts w:ascii="Times New Roman" w:hAnsi="Times New Roman"/>
          <w:sz w:val="24"/>
          <w:lang w:val="en-GB"/>
        </w:rPr>
        <w:t>S.23.01.22.R0</w:t>
      </w:r>
      <w:r>
        <w:rPr>
          <w:rFonts w:ascii="Times New Roman" w:hAnsi="Times New Roman"/>
          <w:sz w:val="24"/>
          <w:lang w:val="en-GB"/>
        </w:rPr>
        <w:t>79</w:t>
      </w:r>
      <w:r w:rsidRPr="00D541B9">
        <w:rPr>
          <w:rFonts w:ascii="Times New Roman" w:hAnsi="Times New Roman"/>
          <w:sz w:val="24"/>
          <w:lang w:val="en-GB"/>
        </w:rPr>
        <w:t>0: is replaced by the following</w:t>
      </w:r>
      <w:r w:rsidR="00C76639">
        <w:rPr>
          <w:rFonts w:ascii="Times New Roman" w:hAnsi="Times New Roman"/>
          <w:sz w:val="24"/>
          <w:lang w:val="en-GB"/>
        </w:rPr>
        <w:t xml:space="preserve"> row</w:t>
      </w:r>
      <w:r w:rsidRPr="00D541B9">
        <w:rPr>
          <w:rFonts w:ascii="Times New Roman" w:hAnsi="Times New Roman"/>
          <w:sz w:val="24"/>
          <w:lang w:val="en-GB"/>
        </w:rPr>
        <w:t>:</w:t>
      </w:r>
    </w:p>
    <w:tbl>
      <w:tblPr>
        <w:tblW w:w="8987" w:type="dxa"/>
        <w:tblInd w:w="959" w:type="dxa"/>
        <w:tblLook w:val="04A0" w:firstRow="1" w:lastRow="0" w:firstColumn="1" w:lastColumn="0" w:noHBand="0" w:noVBand="1"/>
      </w:tblPr>
      <w:tblGrid>
        <w:gridCol w:w="3969"/>
        <w:gridCol w:w="870"/>
        <w:gridCol w:w="689"/>
        <w:gridCol w:w="1191"/>
        <w:gridCol w:w="825"/>
        <w:gridCol w:w="731"/>
        <w:gridCol w:w="712"/>
      </w:tblGrid>
      <w:tr w:rsidR="006B5D69" w:rsidRPr="006B5D69" w:rsidTr="004137C6">
        <w:trPr>
          <w:trHeight w:val="225"/>
        </w:trPr>
        <w:tc>
          <w:tcPr>
            <w:tcW w:w="3969" w:type="dxa"/>
            <w:tcBorders>
              <w:top w:val="nil"/>
              <w:left w:val="nil"/>
              <w:bottom w:val="nil"/>
              <w:right w:val="nil"/>
            </w:tcBorders>
            <w:shd w:val="clear" w:color="auto" w:fill="auto"/>
            <w:noWrap/>
            <w:hideMark/>
          </w:tcPr>
          <w:p w:rsidR="006B5D69" w:rsidRPr="006B5D69" w:rsidRDefault="006B5D69" w:rsidP="00C866C9">
            <w:pPr>
              <w:ind w:firstLineChars="100" w:firstLine="241"/>
              <w:rPr>
                <w:b/>
              </w:rPr>
            </w:pPr>
            <w:r w:rsidRPr="006B5D69">
              <w:rPr>
                <w:b/>
              </w:rPr>
              <w:t>Total EPIFP</w:t>
            </w:r>
          </w:p>
        </w:tc>
        <w:tc>
          <w:tcPr>
            <w:tcW w:w="870" w:type="dxa"/>
            <w:tcBorders>
              <w:top w:val="nil"/>
              <w:left w:val="nil"/>
              <w:bottom w:val="nil"/>
              <w:right w:val="nil"/>
            </w:tcBorders>
            <w:shd w:val="clear" w:color="auto" w:fill="auto"/>
            <w:vAlign w:val="center"/>
            <w:hideMark/>
          </w:tcPr>
          <w:p w:rsidR="006B5D69" w:rsidRPr="006B5D69" w:rsidRDefault="006B5D69" w:rsidP="002941D3">
            <w:pPr>
              <w:jc w:val="center"/>
              <w:rPr>
                <w:b/>
                <w:bCs/>
              </w:rPr>
            </w:pPr>
            <w:r w:rsidRPr="006B5D69">
              <w:rPr>
                <w:b/>
                <w:bCs/>
              </w:rPr>
              <w:t>R07</w:t>
            </w:r>
            <w:r>
              <w:rPr>
                <w:b/>
                <w:bCs/>
              </w:rPr>
              <w:t>9</w:t>
            </w:r>
            <w:r w:rsidRPr="006B5D69">
              <w:rPr>
                <w:b/>
                <w:bCs/>
              </w:rPr>
              <w:t>0</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D69" w:rsidRPr="006B5D69" w:rsidRDefault="006B5D69" w:rsidP="002941D3">
            <w:pPr>
              <w:jc w:val="center"/>
            </w:pPr>
          </w:p>
        </w:tc>
        <w:tc>
          <w:tcPr>
            <w:tcW w:w="1191"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B5D69" w:rsidRPr="006B5D69" w:rsidRDefault="006B5D69" w:rsidP="002941D3">
            <w:pPr>
              <w:jc w:val="center"/>
            </w:pPr>
          </w:p>
        </w:tc>
        <w:tc>
          <w:tcPr>
            <w:tcW w:w="825"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B5D69" w:rsidRPr="006B5D69" w:rsidRDefault="006B5D69" w:rsidP="002941D3">
            <w:pPr>
              <w:jc w:val="center"/>
            </w:pPr>
          </w:p>
        </w:tc>
        <w:tc>
          <w:tcPr>
            <w:tcW w:w="731"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B5D69" w:rsidRPr="006B5D69" w:rsidRDefault="006B5D69" w:rsidP="002941D3">
            <w:pPr>
              <w:jc w:val="center"/>
            </w:pPr>
          </w:p>
        </w:tc>
        <w:tc>
          <w:tcPr>
            <w:tcW w:w="71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hideMark/>
          </w:tcPr>
          <w:p w:rsidR="006B5D69" w:rsidRPr="006B5D69" w:rsidRDefault="006B5D69" w:rsidP="002941D3">
            <w:pPr>
              <w:jc w:val="center"/>
            </w:pPr>
          </w:p>
        </w:tc>
      </w:tr>
    </w:tbl>
    <w:p w:rsidR="00F409D2" w:rsidRDefault="00F409D2" w:rsidP="006F600D">
      <w:pPr>
        <w:pStyle w:val="ListParagraph"/>
        <w:spacing w:after="200" w:line="276" w:lineRule="auto"/>
        <w:jc w:val="both"/>
        <w:rPr>
          <w:rFonts w:ascii="Times New Roman" w:hAnsi="Times New Roman"/>
          <w:sz w:val="24"/>
          <w:lang w:val="en-GB"/>
        </w:rPr>
      </w:pPr>
      <w:r>
        <w:rPr>
          <w:rFonts w:ascii="Times New Roman" w:hAnsi="Times New Roman"/>
          <w:sz w:val="24"/>
          <w:lang w:val="en-GB"/>
        </w:rPr>
        <w:t>;</w:t>
      </w:r>
    </w:p>
    <w:p w:rsidR="002649F1" w:rsidRPr="008E2278" w:rsidRDefault="002649F1" w:rsidP="00573FCD">
      <w:pPr>
        <w:pStyle w:val="ListParagraph"/>
        <w:numPr>
          <w:ilvl w:val="0"/>
          <w:numId w:val="78"/>
        </w:numPr>
        <w:spacing w:after="200" w:line="276" w:lineRule="auto"/>
        <w:jc w:val="both"/>
        <w:rPr>
          <w:rFonts w:ascii="Times New Roman" w:hAnsi="Times New Roman"/>
          <w:sz w:val="24"/>
          <w:lang w:val="en-GB"/>
        </w:rPr>
      </w:pPr>
      <w:r w:rsidRPr="008E2278">
        <w:rPr>
          <w:rFonts w:ascii="Times New Roman" w:hAnsi="Times New Roman"/>
          <w:sz w:val="24"/>
          <w:lang w:val="en-GB"/>
        </w:rPr>
        <w:t xml:space="preserve">In </w:t>
      </w:r>
      <w:r w:rsidR="00216DB3">
        <w:rPr>
          <w:rFonts w:ascii="Times New Roman" w:hAnsi="Times New Roman"/>
          <w:sz w:val="24"/>
          <w:lang w:val="en-GB"/>
        </w:rPr>
        <w:t>template</w:t>
      </w:r>
      <w:r w:rsidR="00A049A5">
        <w:rPr>
          <w:rFonts w:ascii="Times New Roman" w:hAnsi="Times New Roman"/>
          <w:sz w:val="24"/>
          <w:lang w:val="en-GB"/>
        </w:rPr>
        <w:t xml:space="preserve"> </w:t>
      </w:r>
      <w:r w:rsidRPr="008E2278">
        <w:rPr>
          <w:rFonts w:ascii="Times New Roman" w:hAnsi="Times New Roman"/>
          <w:sz w:val="24"/>
          <w:lang w:val="en-GB"/>
        </w:rPr>
        <w:t>S.25.01.21</w:t>
      </w:r>
      <w:r w:rsidR="00D27403">
        <w:rPr>
          <w:rFonts w:ascii="Times New Roman" w:hAnsi="Times New Roman"/>
          <w:sz w:val="24"/>
          <w:lang w:val="en-GB"/>
        </w:rPr>
        <w:t xml:space="preserve"> '</w:t>
      </w:r>
      <w:r w:rsidRPr="008E2278">
        <w:rPr>
          <w:rFonts w:ascii="Times New Roman" w:hAnsi="Times New Roman"/>
          <w:sz w:val="24"/>
          <w:lang w:val="en-GB"/>
        </w:rPr>
        <w:t>C0100</w:t>
      </w:r>
      <w:r w:rsidR="00D27403">
        <w:rPr>
          <w:rFonts w:ascii="Times New Roman" w:hAnsi="Times New Roman"/>
          <w:sz w:val="24"/>
          <w:lang w:val="en-GB"/>
        </w:rPr>
        <w:t>'</w:t>
      </w:r>
      <w:r w:rsidRPr="008E2278">
        <w:rPr>
          <w:rFonts w:ascii="Times New Roman" w:hAnsi="Times New Roman"/>
          <w:sz w:val="24"/>
          <w:lang w:val="en-GB"/>
        </w:rPr>
        <w:t xml:space="preserve"> is </w:t>
      </w:r>
      <w:r w:rsidR="00D27403">
        <w:rPr>
          <w:rFonts w:ascii="Times New Roman" w:hAnsi="Times New Roman"/>
          <w:sz w:val="24"/>
          <w:lang w:val="en-GB"/>
        </w:rPr>
        <w:t>replaced</w:t>
      </w:r>
      <w:r w:rsidRPr="008E2278">
        <w:rPr>
          <w:rFonts w:ascii="Times New Roman" w:hAnsi="Times New Roman"/>
          <w:sz w:val="24"/>
          <w:lang w:val="en-GB"/>
        </w:rPr>
        <w:t xml:space="preserve"> </w:t>
      </w:r>
      <w:r w:rsidR="00D27403">
        <w:rPr>
          <w:rFonts w:ascii="Times New Roman" w:hAnsi="Times New Roman"/>
          <w:sz w:val="24"/>
          <w:lang w:val="en-GB"/>
        </w:rPr>
        <w:t>by</w:t>
      </w:r>
      <w:r w:rsidRPr="008E2278">
        <w:rPr>
          <w:rFonts w:ascii="Times New Roman" w:hAnsi="Times New Roman"/>
          <w:sz w:val="24"/>
          <w:lang w:val="en-GB"/>
        </w:rPr>
        <w:t xml:space="preserve"> </w:t>
      </w:r>
      <w:r w:rsidR="00D27403">
        <w:rPr>
          <w:rFonts w:ascii="Times New Roman" w:hAnsi="Times New Roman"/>
          <w:sz w:val="24"/>
          <w:lang w:val="en-GB"/>
        </w:rPr>
        <w:t>'</w:t>
      </w:r>
      <w:r w:rsidRPr="008E2278">
        <w:rPr>
          <w:rFonts w:ascii="Times New Roman" w:hAnsi="Times New Roman"/>
          <w:sz w:val="24"/>
          <w:lang w:val="en-GB"/>
        </w:rPr>
        <w:t>C0120</w:t>
      </w:r>
      <w:r w:rsidR="00D27403">
        <w:rPr>
          <w:rFonts w:ascii="Times New Roman" w:hAnsi="Times New Roman"/>
          <w:sz w:val="24"/>
          <w:lang w:val="en-GB"/>
        </w:rPr>
        <w:t>'</w:t>
      </w:r>
      <w:r w:rsidRPr="008E2278">
        <w:rPr>
          <w:rFonts w:ascii="Times New Roman" w:hAnsi="Times New Roman"/>
          <w:sz w:val="24"/>
          <w:lang w:val="en-GB"/>
        </w:rPr>
        <w:t>;</w:t>
      </w:r>
    </w:p>
    <w:p w:rsidR="002649F1" w:rsidRPr="008E2278" w:rsidRDefault="002649F1" w:rsidP="002649F1">
      <w:pPr>
        <w:pStyle w:val="ListParagraph"/>
        <w:spacing w:after="200" w:line="276" w:lineRule="auto"/>
        <w:jc w:val="both"/>
        <w:rPr>
          <w:rFonts w:ascii="Times New Roman" w:hAnsi="Times New Roman"/>
          <w:sz w:val="24"/>
          <w:lang w:val="en-GB"/>
        </w:rPr>
      </w:pPr>
    </w:p>
    <w:p w:rsidR="002649F1" w:rsidRPr="008E2278" w:rsidRDefault="002649F1" w:rsidP="00573FCD">
      <w:pPr>
        <w:pStyle w:val="ListParagraph"/>
        <w:numPr>
          <w:ilvl w:val="0"/>
          <w:numId w:val="78"/>
        </w:numPr>
        <w:spacing w:after="200" w:line="276" w:lineRule="auto"/>
        <w:jc w:val="both"/>
        <w:rPr>
          <w:rFonts w:ascii="Times New Roman" w:hAnsi="Times New Roman"/>
          <w:sz w:val="24"/>
          <w:lang w:val="en-GB"/>
        </w:rPr>
      </w:pPr>
      <w:r w:rsidRPr="008E2278">
        <w:rPr>
          <w:rFonts w:ascii="Times New Roman" w:hAnsi="Times New Roman"/>
          <w:sz w:val="24"/>
          <w:lang w:val="en-GB"/>
        </w:rPr>
        <w:t xml:space="preserve">In </w:t>
      </w:r>
      <w:r w:rsidR="00216DB3">
        <w:rPr>
          <w:rFonts w:ascii="Times New Roman" w:hAnsi="Times New Roman"/>
          <w:sz w:val="24"/>
          <w:lang w:val="en-GB"/>
        </w:rPr>
        <w:t>template</w:t>
      </w:r>
      <w:r w:rsidR="00A049A5">
        <w:rPr>
          <w:rFonts w:ascii="Times New Roman" w:hAnsi="Times New Roman"/>
          <w:sz w:val="24"/>
          <w:lang w:val="en-GB"/>
        </w:rPr>
        <w:t xml:space="preserve"> </w:t>
      </w:r>
      <w:r w:rsidRPr="008E2278">
        <w:rPr>
          <w:rFonts w:ascii="Times New Roman" w:hAnsi="Times New Roman"/>
          <w:sz w:val="24"/>
          <w:lang w:val="en-GB"/>
        </w:rPr>
        <w:t>S.25.01.22</w:t>
      </w:r>
      <w:r w:rsidR="006B71F9" w:rsidRPr="008E2278">
        <w:rPr>
          <w:rFonts w:ascii="Times New Roman" w:hAnsi="Times New Roman"/>
          <w:sz w:val="24"/>
          <w:lang w:val="en-GB"/>
        </w:rPr>
        <w:t>, S.25.02.21 and S.25.02.21, S.25.02.22.</w:t>
      </w:r>
      <w:r w:rsidRPr="008E2278">
        <w:rPr>
          <w:rFonts w:ascii="Times New Roman" w:hAnsi="Times New Roman"/>
          <w:sz w:val="24"/>
          <w:lang w:val="en-GB"/>
        </w:rPr>
        <w:t xml:space="preserve">C0080 is </w:t>
      </w:r>
      <w:r w:rsidR="00216DB3">
        <w:rPr>
          <w:rFonts w:ascii="Times New Roman" w:hAnsi="Times New Roman"/>
          <w:sz w:val="24"/>
          <w:lang w:val="en-GB"/>
        </w:rPr>
        <w:t>replaced</w:t>
      </w:r>
      <w:r w:rsidRPr="008E2278">
        <w:rPr>
          <w:rFonts w:ascii="Times New Roman" w:hAnsi="Times New Roman"/>
          <w:sz w:val="24"/>
          <w:lang w:val="en-GB"/>
        </w:rPr>
        <w:t xml:space="preserve"> as C0090,</w:t>
      </w:r>
      <w:r w:rsidR="007D4910">
        <w:rPr>
          <w:rFonts w:ascii="Times New Roman" w:hAnsi="Times New Roman"/>
          <w:sz w:val="24"/>
          <w:lang w:val="en-GB"/>
        </w:rPr>
        <w:t xml:space="preserve"> and</w:t>
      </w:r>
      <w:r w:rsidRPr="008E2278">
        <w:rPr>
          <w:rFonts w:ascii="Times New Roman" w:hAnsi="Times New Roman"/>
          <w:sz w:val="24"/>
          <w:lang w:val="en-GB"/>
        </w:rPr>
        <w:t xml:space="preserve"> C0090 as C0120;</w:t>
      </w:r>
    </w:p>
    <w:p w:rsidR="006B71F9" w:rsidRPr="008E2278" w:rsidRDefault="006B71F9" w:rsidP="00573FCD">
      <w:pPr>
        <w:pStyle w:val="ListParagraph"/>
        <w:rPr>
          <w:rFonts w:ascii="Times New Roman" w:hAnsi="Times New Roman"/>
          <w:sz w:val="24"/>
          <w:lang w:val="en-GB"/>
        </w:rPr>
      </w:pPr>
    </w:p>
    <w:p w:rsidR="002649F1" w:rsidRDefault="002649F1" w:rsidP="00573FCD">
      <w:pPr>
        <w:pStyle w:val="ListParagraph"/>
        <w:numPr>
          <w:ilvl w:val="0"/>
          <w:numId w:val="78"/>
        </w:numPr>
        <w:spacing w:after="200" w:line="276" w:lineRule="auto"/>
        <w:jc w:val="both"/>
        <w:rPr>
          <w:rFonts w:ascii="Times New Roman" w:hAnsi="Times New Roman"/>
          <w:sz w:val="24"/>
          <w:lang w:val="en-GB"/>
        </w:rPr>
      </w:pPr>
      <w:r w:rsidRPr="00D541B9">
        <w:rPr>
          <w:rFonts w:ascii="Times New Roman" w:hAnsi="Times New Roman"/>
          <w:sz w:val="24"/>
          <w:lang w:val="en-GB"/>
        </w:rPr>
        <w:t xml:space="preserve">In </w:t>
      </w:r>
      <w:r w:rsidR="00216DB3">
        <w:rPr>
          <w:rFonts w:ascii="Times New Roman" w:hAnsi="Times New Roman"/>
          <w:sz w:val="24"/>
          <w:lang w:val="en-GB"/>
        </w:rPr>
        <w:t>template</w:t>
      </w:r>
      <w:r w:rsidR="00A049A5">
        <w:rPr>
          <w:rFonts w:ascii="Times New Roman" w:hAnsi="Times New Roman"/>
          <w:sz w:val="24"/>
          <w:lang w:val="en-GB"/>
        </w:rPr>
        <w:t xml:space="preserve"> </w:t>
      </w:r>
      <w:r w:rsidRPr="00D541B9">
        <w:rPr>
          <w:rFonts w:ascii="Times New Roman" w:hAnsi="Times New Roman"/>
          <w:sz w:val="24"/>
          <w:lang w:val="en-GB"/>
        </w:rPr>
        <w:t>S.2</w:t>
      </w:r>
      <w:r>
        <w:rPr>
          <w:rFonts w:ascii="Times New Roman" w:hAnsi="Times New Roman"/>
          <w:sz w:val="24"/>
          <w:lang w:val="en-GB"/>
        </w:rPr>
        <w:t>5.02.21</w:t>
      </w:r>
      <w:r w:rsidR="00737B17">
        <w:rPr>
          <w:rFonts w:ascii="Times New Roman" w:hAnsi="Times New Roman"/>
          <w:sz w:val="24"/>
          <w:lang w:val="en-GB"/>
        </w:rPr>
        <w:t xml:space="preserve">, </w:t>
      </w:r>
      <w:r w:rsidR="00737B17" w:rsidRPr="00D541B9">
        <w:rPr>
          <w:rFonts w:ascii="Times New Roman" w:hAnsi="Times New Roman"/>
          <w:sz w:val="24"/>
          <w:lang w:val="en-GB"/>
        </w:rPr>
        <w:t>S.2</w:t>
      </w:r>
      <w:r w:rsidR="00737B17">
        <w:rPr>
          <w:rFonts w:ascii="Times New Roman" w:hAnsi="Times New Roman"/>
          <w:sz w:val="24"/>
          <w:lang w:val="en-GB"/>
        </w:rPr>
        <w:t>5.02.22,</w:t>
      </w:r>
      <w:r w:rsidR="00D27403">
        <w:rPr>
          <w:rFonts w:ascii="Times New Roman" w:hAnsi="Times New Roman"/>
          <w:sz w:val="24"/>
          <w:lang w:val="en-GB"/>
        </w:rPr>
        <w:t xml:space="preserve"> </w:t>
      </w:r>
      <w:r w:rsidR="00737B17" w:rsidRPr="00D541B9">
        <w:rPr>
          <w:rFonts w:ascii="Times New Roman" w:hAnsi="Times New Roman"/>
          <w:sz w:val="24"/>
          <w:lang w:val="en-GB"/>
        </w:rPr>
        <w:t>S.2</w:t>
      </w:r>
      <w:r w:rsidR="00737B17">
        <w:rPr>
          <w:rFonts w:ascii="Times New Roman" w:hAnsi="Times New Roman"/>
          <w:sz w:val="24"/>
          <w:lang w:val="en-GB"/>
        </w:rPr>
        <w:t xml:space="preserve">5.03.21 and </w:t>
      </w:r>
      <w:r w:rsidR="00737B17" w:rsidRPr="00D541B9">
        <w:rPr>
          <w:rFonts w:ascii="Times New Roman" w:hAnsi="Times New Roman"/>
          <w:sz w:val="24"/>
          <w:lang w:val="en-GB"/>
        </w:rPr>
        <w:t>S.2</w:t>
      </w:r>
      <w:r w:rsidR="00737B17">
        <w:rPr>
          <w:rFonts w:ascii="Times New Roman" w:hAnsi="Times New Roman"/>
          <w:sz w:val="24"/>
          <w:lang w:val="en-GB"/>
        </w:rPr>
        <w:t xml:space="preserve">5.03.22 </w:t>
      </w:r>
      <w:r w:rsidRPr="00D541B9">
        <w:rPr>
          <w:rFonts w:ascii="Times New Roman" w:hAnsi="Times New Roman"/>
          <w:sz w:val="24"/>
          <w:lang w:val="en-GB"/>
        </w:rPr>
        <w:t>R0</w:t>
      </w:r>
      <w:r>
        <w:rPr>
          <w:rFonts w:ascii="Times New Roman" w:hAnsi="Times New Roman"/>
          <w:sz w:val="24"/>
          <w:lang w:val="en-GB"/>
        </w:rPr>
        <w:t>42</w:t>
      </w:r>
      <w:r w:rsidRPr="00D541B9">
        <w:rPr>
          <w:rFonts w:ascii="Times New Roman" w:hAnsi="Times New Roman"/>
          <w:sz w:val="24"/>
          <w:lang w:val="en-GB"/>
        </w:rPr>
        <w:t>0 is replaced by the following</w:t>
      </w:r>
      <w:r w:rsidR="00C76639">
        <w:rPr>
          <w:rFonts w:ascii="Times New Roman" w:hAnsi="Times New Roman"/>
          <w:sz w:val="24"/>
          <w:lang w:val="en-GB"/>
        </w:rPr>
        <w:t xml:space="preserve"> row</w:t>
      </w:r>
      <w:r w:rsidRPr="00D541B9">
        <w:rPr>
          <w:rFonts w:ascii="Times New Roman" w:hAnsi="Times New Roman"/>
          <w:sz w:val="24"/>
          <w:lang w:val="en-GB"/>
        </w:rPr>
        <w:t>:</w:t>
      </w:r>
    </w:p>
    <w:tbl>
      <w:tblPr>
        <w:tblpPr w:leftFromText="180" w:rightFromText="180" w:vertAnchor="text" w:horzAnchor="margin" w:tblpX="959" w:tblpY="63"/>
        <w:tblW w:w="5495" w:type="dxa"/>
        <w:tblLayout w:type="fixed"/>
        <w:tblLook w:val="04A0" w:firstRow="1" w:lastRow="0" w:firstColumn="1" w:lastColumn="0" w:noHBand="0" w:noVBand="1"/>
      </w:tblPr>
      <w:tblGrid>
        <w:gridCol w:w="3936"/>
        <w:gridCol w:w="992"/>
        <w:gridCol w:w="567"/>
      </w:tblGrid>
      <w:tr w:rsidR="00573FCD" w:rsidRPr="00D94C9E" w:rsidTr="0022365E">
        <w:trPr>
          <w:trHeight w:val="480"/>
        </w:trPr>
        <w:tc>
          <w:tcPr>
            <w:tcW w:w="3936" w:type="dxa"/>
            <w:tcBorders>
              <w:top w:val="nil"/>
              <w:left w:val="nil"/>
              <w:bottom w:val="nil"/>
              <w:right w:val="nil"/>
            </w:tcBorders>
            <w:shd w:val="clear" w:color="auto" w:fill="auto"/>
            <w:hideMark/>
          </w:tcPr>
          <w:p w:rsidR="00573FCD" w:rsidRPr="00573FCD" w:rsidRDefault="00573FCD" w:rsidP="0022365E">
            <w:pPr>
              <w:rPr>
                <w:b/>
              </w:rPr>
            </w:pPr>
            <w:r w:rsidRPr="00573FCD">
              <w:t>Total amount of Notional Solvency Capital Requirements for ring fenced funds</w:t>
            </w:r>
          </w:p>
        </w:tc>
        <w:tc>
          <w:tcPr>
            <w:tcW w:w="992" w:type="dxa"/>
            <w:tcBorders>
              <w:top w:val="nil"/>
              <w:left w:val="nil"/>
              <w:bottom w:val="nil"/>
              <w:right w:val="nil"/>
            </w:tcBorders>
            <w:shd w:val="clear" w:color="000000" w:fill="FFFFFF"/>
            <w:vAlign w:val="center"/>
            <w:hideMark/>
          </w:tcPr>
          <w:p w:rsidR="00573FCD" w:rsidRPr="00D94C9E" w:rsidRDefault="00573FCD" w:rsidP="0022365E">
            <w:pPr>
              <w:jc w:val="center"/>
              <w:rPr>
                <w:b/>
                <w:bCs/>
              </w:rPr>
            </w:pPr>
            <w:r>
              <w:rPr>
                <w:b/>
                <w:bCs/>
              </w:rPr>
              <w:t>R042</w:t>
            </w:r>
            <w:r w:rsidRPr="00D94C9E">
              <w:rPr>
                <w:b/>
                <w:bCs/>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3FCD" w:rsidRPr="00D94C9E" w:rsidRDefault="00573FCD" w:rsidP="0022365E">
            <w:pPr>
              <w:jc w:val="center"/>
            </w:pPr>
          </w:p>
        </w:tc>
      </w:tr>
    </w:tbl>
    <w:p w:rsidR="002649F1" w:rsidRDefault="002649F1" w:rsidP="002649F1">
      <w:pPr>
        <w:pStyle w:val="ListParagraph"/>
        <w:spacing w:after="200" w:line="276" w:lineRule="auto"/>
        <w:jc w:val="both"/>
        <w:rPr>
          <w:rFonts w:ascii="Times New Roman" w:hAnsi="Times New Roman"/>
          <w:sz w:val="24"/>
          <w:lang w:val="en-GB"/>
        </w:rPr>
      </w:pPr>
    </w:p>
    <w:p w:rsidR="00573FCD" w:rsidRDefault="00573FCD" w:rsidP="002649F1">
      <w:pPr>
        <w:pStyle w:val="ListParagraph"/>
        <w:spacing w:after="200" w:line="276" w:lineRule="auto"/>
        <w:jc w:val="both"/>
        <w:rPr>
          <w:rFonts w:ascii="Times New Roman" w:hAnsi="Times New Roman"/>
          <w:sz w:val="24"/>
          <w:lang w:val="en-GB"/>
        </w:rPr>
      </w:pPr>
    </w:p>
    <w:p w:rsidR="00F409D2" w:rsidRDefault="00F409D2" w:rsidP="006F600D">
      <w:pPr>
        <w:pStyle w:val="ListParagraph"/>
        <w:spacing w:after="200" w:line="276" w:lineRule="auto"/>
        <w:jc w:val="both"/>
        <w:rPr>
          <w:rFonts w:ascii="Times New Roman" w:hAnsi="Times New Roman"/>
          <w:sz w:val="24"/>
          <w:lang w:val="en-GB"/>
        </w:rPr>
      </w:pPr>
      <w:r>
        <w:rPr>
          <w:rFonts w:ascii="Times New Roman" w:hAnsi="Times New Roman"/>
          <w:sz w:val="24"/>
          <w:lang w:val="en-GB"/>
        </w:rPr>
        <w:t>;</w:t>
      </w:r>
    </w:p>
    <w:p w:rsidR="00737B17" w:rsidRPr="008E2278" w:rsidRDefault="00C866C9" w:rsidP="00573FCD">
      <w:pPr>
        <w:pStyle w:val="ListParagraph"/>
        <w:numPr>
          <w:ilvl w:val="0"/>
          <w:numId w:val="78"/>
        </w:numPr>
        <w:spacing w:after="200" w:line="276" w:lineRule="auto"/>
        <w:jc w:val="both"/>
        <w:rPr>
          <w:rFonts w:ascii="Times New Roman" w:hAnsi="Times New Roman"/>
          <w:sz w:val="24"/>
          <w:lang w:val="en-GB"/>
        </w:rPr>
      </w:pPr>
      <w:r w:rsidRPr="00D541B9">
        <w:rPr>
          <w:rFonts w:ascii="Times New Roman" w:hAnsi="Times New Roman"/>
          <w:sz w:val="24"/>
          <w:lang w:val="en-GB"/>
        </w:rPr>
        <w:t xml:space="preserve">In </w:t>
      </w:r>
      <w:r>
        <w:rPr>
          <w:rFonts w:ascii="Times New Roman" w:hAnsi="Times New Roman"/>
          <w:sz w:val="24"/>
          <w:lang w:val="en-GB"/>
        </w:rPr>
        <w:t xml:space="preserve">template </w:t>
      </w:r>
      <w:r w:rsidRPr="00D541B9">
        <w:rPr>
          <w:rFonts w:ascii="Times New Roman" w:hAnsi="Times New Roman"/>
          <w:sz w:val="24"/>
          <w:lang w:val="en-GB"/>
        </w:rPr>
        <w:t>S.2</w:t>
      </w:r>
      <w:r>
        <w:rPr>
          <w:rFonts w:ascii="Times New Roman" w:hAnsi="Times New Roman"/>
          <w:sz w:val="24"/>
          <w:lang w:val="en-GB"/>
        </w:rPr>
        <w:t xml:space="preserve">5.02.22, before “Minimum consolidated group </w:t>
      </w:r>
      <w:r w:rsidRPr="00C866C9">
        <w:rPr>
          <w:rFonts w:ascii="Times New Roman" w:hAnsi="Times New Roman"/>
          <w:sz w:val="24"/>
          <w:lang w:val="en-GB"/>
        </w:rPr>
        <w:t>solve</w:t>
      </w:r>
      <w:r>
        <w:rPr>
          <w:rFonts w:ascii="Times New Roman" w:hAnsi="Times New Roman"/>
          <w:sz w:val="24"/>
          <w:lang w:val="en-GB"/>
        </w:rPr>
        <w:t>ncy capital requirement,  R0470”</w:t>
      </w:r>
      <w:r w:rsidRPr="00C866C9">
        <w:rPr>
          <w:rFonts w:ascii="Times New Roman" w:hAnsi="Times New Roman"/>
          <w:sz w:val="24"/>
          <w:lang w:val="en-GB"/>
        </w:rPr>
        <w:t>, the following rows are deleted</w:t>
      </w:r>
      <w:r w:rsidR="00F409D2">
        <w:rPr>
          <w:rFonts w:ascii="Times New Roman" w:hAnsi="Times New Roman"/>
          <w:sz w:val="24"/>
          <w:lang w:val="en-GB"/>
        </w:rPr>
        <w:t>;</w:t>
      </w:r>
    </w:p>
    <w:tbl>
      <w:tblPr>
        <w:tblW w:w="9021" w:type="dxa"/>
        <w:tblInd w:w="959" w:type="dxa"/>
        <w:tblLook w:val="04A0" w:firstRow="1" w:lastRow="0" w:firstColumn="1" w:lastColumn="0" w:noHBand="0" w:noVBand="1"/>
      </w:tblPr>
      <w:tblGrid>
        <w:gridCol w:w="2693"/>
        <w:gridCol w:w="1418"/>
        <w:gridCol w:w="1842"/>
        <w:gridCol w:w="993"/>
        <w:gridCol w:w="708"/>
        <w:gridCol w:w="1367"/>
      </w:tblGrid>
      <w:tr w:rsidR="00222CCD" w:rsidRPr="004158D4" w:rsidTr="0022365E">
        <w:trPr>
          <w:trHeight w:val="720"/>
        </w:trPr>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8D4" w:rsidRPr="004158D4" w:rsidRDefault="004158D4" w:rsidP="004158D4">
            <w:pPr>
              <w:jc w:val="center"/>
              <w:rPr>
                <w:b/>
                <w:bCs/>
                <w:sz w:val="18"/>
                <w:szCs w:val="18"/>
              </w:rPr>
            </w:pPr>
            <w:r w:rsidRPr="004158D4">
              <w:rPr>
                <w:b/>
                <w:bCs/>
                <w:sz w:val="18"/>
                <w:szCs w:val="18"/>
              </w:rPr>
              <w:t>Unique number of component</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4158D4" w:rsidRPr="004158D4" w:rsidRDefault="004158D4" w:rsidP="004158D4">
            <w:pPr>
              <w:jc w:val="center"/>
              <w:rPr>
                <w:b/>
                <w:bCs/>
                <w:sz w:val="18"/>
                <w:szCs w:val="18"/>
              </w:rPr>
            </w:pPr>
            <w:r w:rsidRPr="004158D4">
              <w:rPr>
                <w:b/>
                <w:bCs/>
                <w:sz w:val="18"/>
                <w:szCs w:val="18"/>
              </w:rPr>
              <w:t>Components description</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4158D4" w:rsidRPr="004158D4" w:rsidRDefault="004158D4" w:rsidP="004158D4">
            <w:pPr>
              <w:jc w:val="center"/>
              <w:rPr>
                <w:b/>
                <w:bCs/>
                <w:sz w:val="18"/>
                <w:szCs w:val="18"/>
              </w:rPr>
            </w:pPr>
            <w:r w:rsidRPr="004158D4">
              <w:rPr>
                <w:b/>
                <w:bCs/>
                <w:sz w:val="18"/>
                <w:szCs w:val="18"/>
              </w:rPr>
              <w:t>Calculation of the Solvency Capital Requirement</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4158D4" w:rsidRPr="004158D4" w:rsidRDefault="004158D4" w:rsidP="004158D4">
            <w:pPr>
              <w:jc w:val="center"/>
              <w:rPr>
                <w:b/>
                <w:bCs/>
                <w:sz w:val="18"/>
                <w:szCs w:val="18"/>
              </w:rPr>
            </w:pPr>
            <w:r w:rsidRPr="004158D4">
              <w:rPr>
                <w:b/>
                <w:bCs/>
                <w:sz w:val="18"/>
                <w:szCs w:val="18"/>
              </w:rPr>
              <w:t>Amount modelled</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158D4" w:rsidRPr="004158D4" w:rsidRDefault="004158D4" w:rsidP="004158D4">
            <w:pPr>
              <w:jc w:val="center"/>
              <w:rPr>
                <w:b/>
                <w:bCs/>
                <w:sz w:val="18"/>
                <w:szCs w:val="18"/>
              </w:rPr>
            </w:pPr>
            <w:r w:rsidRPr="004158D4">
              <w:rPr>
                <w:b/>
                <w:bCs/>
                <w:sz w:val="18"/>
                <w:szCs w:val="18"/>
              </w:rPr>
              <w:t>USP</w:t>
            </w:r>
          </w:p>
        </w:tc>
        <w:tc>
          <w:tcPr>
            <w:tcW w:w="1367" w:type="dxa"/>
            <w:tcBorders>
              <w:top w:val="single" w:sz="4" w:space="0" w:color="auto"/>
              <w:left w:val="nil"/>
              <w:bottom w:val="single" w:sz="4" w:space="0" w:color="auto"/>
              <w:right w:val="single" w:sz="4" w:space="0" w:color="auto"/>
            </w:tcBorders>
            <w:shd w:val="clear" w:color="000000" w:fill="FFFFFF"/>
            <w:vAlign w:val="center"/>
            <w:hideMark/>
          </w:tcPr>
          <w:p w:rsidR="004158D4" w:rsidRPr="004158D4" w:rsidRDefault="004158D4" w:rsidP="004158D4">
            <w:pPr>
              <w:jc w:val="center"/>
              <w:rPr>
                <w:b/>
                <w:bCs/>
                <w:sz w:val="18"/>
                <w:szCs w:val="18"/>
              </w:rPr>
            </w:pPr>
            <w:r w:rsidRPr="004158D4">
              <w:rPr>
                <w:b/>
                <w:bCs/>
                <w:sz w:val="18"/>
                <w:szCs w:val="18"/>
              </w:rPr>
              <w:t>Simplifications</w:t>
            </w:r>
          </w:p>
        </w:tc>
      </w:tr>
      <w:tr w:rsidR="00222CCD" w:rsidRPr="004158D4" w:rsidTr="0022365E">
        <w:trPr>
          <w:trHeight w:val="240"/>
        </w:trPr>
        <w:tc>
          <w:tcPr>
            <w:tcW w:w="2693" w:type="dxa"/>
            <w:tcBorders>
              <w:top w:val="nil"/>
              <w:left w:val="nil"/>
              <w:bottom w:val="nil"/>
              <w:right w:val="nil"/>
            </w:tcBorders>
            <w:shd w:val="clear" w:color="000000" w:fill="FFFFFF"/>
            <w:vAlign w:val="center"/>
            <w:hideMark/>
          </w:tcPr>
          <w:p w:rsidR="004158D4" w:rsidRPr="004158D4" w:rsidRDefault="004158D4" w:rsidP="004158D4">
            <w:pPr>
              <w:jc w:val="center"/>
              <w:rPr>
                <w:b/>
                <w:bCs/>
                <w:sz w:val="18"/>
                <w:szCs w:val="18"/>
              </w:rPr>
            </w:pPr>
            <w:r w:rsidRPr="004158D4">
              <w:rPr>
                <w:b/>
                <w:bCs/>
                <w:sz w:val="18"/>
                <w:szCs w:val="18"/>
              </w:rPr>
              <w:t>C0010</w:t>
            </w:r>
          </w:p>
        </w:tc>
        <w:tc>
          <w:tcPr>
            <w:tcW w:w="1418" w:type="dxa"/>
            <w:tcBorders>
              <w:top w:val="nil"/>
              <w:left w:val="nil"/>
              <w:bottom w:val="nil"/>
              <w:right w:val="nil"/>
            </w:tcBorders>
            <w:shd w:val="clear" w:color="000000" w:fill="FFFFFF"/>
            <w:vAlign w:val="center"/>
            <w:hideMark/>
          </w:tcPr>
          <w:p w:rsidR="004158D4" w:rsidRPr="004158D4" w:rsidRDefault="004158D4" w:rsidP="004158D4">
            <w:pPr>
              <w:jc w:val="center"/>
              <w:rPr>
                <w:b/>
                <w:bCs/>
                <w:sz w:val="18"/>
                <w:szCs w:val="18"/>
              </w:rPr>
            </w:pPr>
            <w:r w:rsidRPr="004158D4">
              <w:rPr>
                <w:b/>
                <w:bCs/>
                <w:sz w:val="18"/>
                <w:szCs w:val="18"/>
              </w:rPr>
              <w:t>C0020</w:t>
            </w:r>
          </w:p>
        </w:tc>
        <w:tc>
          <w:tcPr>
            <w:tcW w:w="1842" w:type="dxa"/>
            <w:tcBorders>
              <w:top w:val="nil"/>
              <w:left w:val="nil"/>
              <w:bottom w:val="nil"/>
              <w:right w:val="nil"/>
            </w:tcBorders>
            <w:shd w:val="clear" w:color="000000" w:fill="FFFFFF"/>
            <w:vAlign w:val="center"/>
            <w:hideMark/>
          </w:tcPr>
          <w:p w:rsidR="004158D4" w:rsidRPr="004158D4" w:rsidRDefault="004158D4" w:rsidP="004158D4">
            <w:pPr>
              <w:jc w:val="center"/>
              <w:rPr>
                <w:b/>
                <w:bCs/>
                <w:sz w:val="18"/>
                <w:szCs w:val="18"/>
              </w:rPr>
            </w:pPr>
            <w:r w:rsidRPr="004158D4">
              <w:rPr>
                <w:b/>
                <w:bCs/>
                <w:sz w:val="18"/>
                <w:szCs w:val="18"/>
              </w:rPr>
              <w:t>C0030</w:t>
            </w:r>
          </w:p>
        </w:tc>
        <w:tc>
          <w:tcPr>
            <w:tcW w:w="993" w:type="dxa"/>
            <w:tcBorders>
              <w:top w:val="nil"/>
              <w:left w:val="nil"/>
              <w:bottom w:val="nil"/>
              <w:right w:val="nil"/>
            </w:tcBorders>
            <w:shd w:val="clear" w:color="000000" w:fill="FFFFFF"/>
            <w:vAlign w:val="center"/>
            <w:hideMark/>
          </w:tcPr>
          <w:p w:rsidR="004158D4" w:rsidRPr="004158D4" w:rsidRDefault="004158D4" w:rsidP="004158D4">
            <w:pPr>
              <w:jc w:val="center"/>
              <w:rPr>
                <w:b/>
                <w:bCs/>
                <w:sz w:val="18"/>
                <w:szCs w:val="18"/>
              </w:rPr>
            </w:pPr>
            <w:r w:rsidRPr="004158D4">
              <w:rPr>
                <w:b/>
                <w:bCs/>
                <w:sz w:val="18"/>
                <w:szCs w:val="18"/>
              </w:rPr>
              <w:t>C0070</w:t>
            </w:r>
          </w:p>
        </w:tc>
        <w:tc>
          <w:tcPr>
            <w:tcW w:w="708" w:type="dxa"/>
            <w:tcBorders>
              <w:top w:val="nil"/>
              <w:left w:val="nil"/>
              <w:bottom w:val="nil"/>
              <w:right w:val="nil"/>
            </w:tcBorders>
            <w:shd w:val="clear" w:color="000000" w:fill="FFFFFF"/>
            <w:vAlign w:val="center"/>
            <w:hideMark/>
          </w:tcPr>
          <w:p w:rsidR="004158D4" w:rsidRPr="004158D4" w:rsidRDefault="004158D4" w:rsidP="004158D4">
            <w:pPr>
              <w:jc w:val="center"/>
              <w:rPr>
                <w:b/>
                <w:bCs/>
                <w:sz w:val="18"/>
                <w:szCs w:val="18"/>
              </w:rPr>
            </w:pPr>
            <w:r w:rsidRPr="004158D4">
              <w:rPr>
                <w:b/>
                <w:bCs/>
                <w:sz w:val="18"/>
                <w:szCs w:val="18"/>
              </w:rPr>
              <w:t>C0080</w:t>
            </w:r>
          </w:p>
        </w:tc>
        <w:tc>
          <w:tcPr>
            <w:tcW w:w="1367" w:type="dxa"/>
            <w:tcBorders>
              <w:top w:val="nil"/>
              <w:left w:val="nil"/>
              <w:bottom w:val="nil"/>
              <w:right w:val="nil"/>
            </w:tcBorders>
            <w:shd w:val="clear" w:color="000000" w:fill="FFFFFF"/>
            <w:vAlign w:val="center"/>
            <w:hideMark/>
          </w:tcPr>
          <w:p w:rsidR="004158D4" w:rsidRPr="004158D4" w:rsidRDefault="004158D4" w:rsidP="004158D4">
            <w:pPr>
              <w:jc w:val="center"/>
              <w:rPr>
                <w:b/>
                <w:bCs/>
                <w:sz w:val="18"/>
                <w:szCs w:val="18"/>
              </w:rPr>
            </w:pPr>
            <w:r w:rsidRPr="004158D4">
              <w:rPr>
                <w:b/>
                <w:bCs/>
                <w:sz w:val="18"/>
                <w:szCs w:val="18"/>
              </w:rPr>
              <w:t>C0090</w:t>
            </w:r>
          </w:p>
        </w:tc>
      </w:tr>
    </w:tbl>
    <w:p w:rsidR="00737B17" w:rsidRPr="008E2278" w:rsidRDefault="00737B17" w:rsidP="00573FCD">
      <w:pPr>
        <w:pStyle w:val="ListParagraph"/>
        <w:spacing w:after="200" w:line="276" w:lineRule="auto"/>
        <w:jc w:val="both"/>
        <w:rPr>
          <w:rFonts w:ascii="Times New Roman" w:hAnsi="Times New Roman"/>
          <w:sz w:val="24"/>
          <w:lang w:val="en-GB"/>
        </w:rPr>
      </w:pPr>
    </w:p>
    <w:p w:rsidR="002649F1" w:rsidRPr="008E2278" w:rsidRDefault="00C866C9" w:rsidP="00573FCD">
      <w:pPr>
        <w:pStyle w:val="ListParagraph"/>
        <w:numPr>
          <w:ilvl w:val="0"/>
          <w:numId w:val="78"/>
        </w:numPr>
        <w:spacing w:after="200" w:line="276" w:lineRule="auto"/>
        <w:jc w:val="both"/>
        <w:rPr>
          <w:rFonts w:ascii="Times New Roman" w:hAnsi="Times New Roman"/>
          <w:sz w:val="24"/>
          <w:lang w:val="en-GB"/>
        </w:rPr>
      </w:pPr>
      <w:r w:rsidRPr="00C866C9">
        <w:rPr>
          <w:rFonts w:ascii="Times New Roman" w:hAnsi="Times New Roman"/>
          <w:sz w:val="24"/>
          <w:lang w:val="en-GB"/>
        </w:rPr>
        <w:t xml:space="preserve">In </w:t>
      </w:r>
      <w:r>
        <w:rPr>
          <w:rFonts w:ascii="Times New Roman" w:hAnsi="Times New Roman"/>
          <w:sz w:val="24"/>
          <w:lang w:val="en-GB"/>
        </w:rPr>
        <w:t>template S.25.03.22, before “</w:t>
      </w:r>
      <w:r w:rsidRPr="00C866C9">
        <w:rPr>
          <w:rFonts w:ascii="Times New Roman" w:hAnsi="Times New Roman"/>
          <w:sz w:val="24"/>
          <w:lang w:val="en-GB"/>
        </w:rPr>
        <w:t>Capital requirement for other financial sectors (Non-insurance capital requirements) — Credit institutions, investment firms and financial institutions, alternative investment funds managers, UC</w:t>
      </w:r>
      <w:r>
        <w:rPr>
          <w:rFonts w:ascii="Times New Roman" w:hAnsi="Times New Roman"/>
          <w:sz w:val="24"/>
          <w:lang w:val="en-GB"/>
        </w:rPr>
        <w:t>ITS management companies, R0510”</w:t>
      </w:r>
      <w:r w:rsidRPr="00C866C9">
        <w:rPr>
          <w:rFonts w:ascii="Times New Roman" w:hAnsi="Times New Roman"/>
          <w:sz w:val="24"/>
          <w:lang w:val="en-GB"/>
        </w:rPr>
        <w:t>, the following rows are deleted</w:t>
      </w:r>
      <w:r w:rsidR="00F409D2">
        <w:rPr>
          <w:rFonts w:ascii="Times New Roman" w:hAnsi="Times New Roman"/>
          <w:sz w:val="24"/>
          <w:lang w:val="en-GB"/>
        </w:rPr>
        <w:t>;</w:t>
      </w:r>
    </w:p>
    <w:p w:rsidR="006B5D69" w:rsidRDefault="006B5D69" w:rsidP="006B5D69">
      <w:pPr>
        <w:pStyle w:val="ListParagraph"/>
        <w:ind w:left="426"/>
        <w:rPr>
          <w:rFonts w:ascii="Times New Roman" w:hAnsi="Times New Roman"/>
          <w:sz w:val="24"/>
          <w:lang w:val="en-GB"/>
        </w:rPr>
      </w:pPr>
    </w:p>
    <w:tbl>
      <w:tblPr>
        <w:tblW w:w="7441" w:type="dxa"/>
        <w:tblInd w:w="959" w:type="dxa"/>
        <w:tblLook w:val="04A0" w:firstRow="1" w:lastRow="0" w:firstColumn="1" w:lastColumn="0" w:noHBand="0" w:noVBand="1"/>
      </w:tblPr>
      <w:tblGrid>
        <w:gridCol w:w="4835"/>
        <w:gridCol w:w="1380"/>
        <w:gridCol w:w="1226"/>
      </w:tblGrid>
      <w:tr w:rsidR="00222CCD" w:rsidRPr="00222CCD" w:rsidTr="0022365E">
        <w:trPr>
          <w:trHeight w:val="720"/>
        </w:trPr>
        <w:tc>
          <w:tcPr>
            <w:tcW w:w="4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22CCD" w:rsidRPr="00222CCD" w:rsidRDefault="00222CCD" w:rsidP="00222CCD">
            <w:pPr>
              <w:jc w:val="center"/>
              <w:rPr>
                <w:b/>
                <w:bCs/>
                <w:sz w:val="18"/>
                <w:szCs w:val="18"/>
              </w:rPr>
            </w:pPr>
            <w:r w:rsidRPr="00222CCD">
              <w:rPr>
                <w:b/>
                <w:bCs/>
                <w:sz w:val="18"/>
                <w:szCs w:val="18"/>
              </w:rPr>
              <w:t>Unique number of component</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222CCD" w:rsidRPr="00222CCD" w:rsidRDefault="00222CCD" w:rsidP="00222CCD">
            <w:pPr>
              <w:jc w:val="center"/>
              <w:rPr>
                <w:b/>
                <w:bCs/>
                <w:sz w:val="18"/>
                <w:szCs w:val="18"/>
              </w:rPr>
            </w:pPr>
            <w:r w:rsidRPr="00222CCD">
              <w:rPr>
                <w:b/>
                <w:bCs/>
                <w:sz w:val="18"/>
                <w:szCs w:val="18"/>
              </w:rPr>
              <w:t>Components description</w:t>
            </w:r>
          </w:p>
        </w:tc>
        <w:tc>
          <w:tcPr>
            <w:tcW w:w="1226" w:type="dxa"/>
            <w:tcBorders>
              <w:top w:val="single" w:sz="4" w:space="0" w:color="auto"/>
              <w:left w:val="nil"/>
              <w:bottom w:val="single" w:sz="4" w:space="0" w:color="auto"/>
              <w:right w:val="single" w:sz="4" w:space="0" w:color="auto"/>
            </w:tcBorders>
            <w:shd w:val="clear" w:color="000000" w:fill="FFFFFF"/>
            <w:vAlign w:val="center"/>
            <w:hideMark/>
          </w:tcPr>
          <w:p w:rsidR="00222CCD" w:rsidRPr="00222CCD" w:rsidRDefault="00222CCD" w:rsidP="00222CCD">
            <w:pPr>
              <w:jc w:val="center"/>
              <w:rPr>
                <w:b/>
                <w:bCs/>
                <w:sz w:val="18"/>
                <w:szCs w:val="18"/>
              </w:rPr>
            </w:pPr>
            <w:r w:rsidRPr="00222CCD">
              <w:rPr>
                <w:b/>
                <w:bCs/>
                <w:sz w:val="18"/>
                <w:szCs w:val="18"/>
              </w:rPr>
              <w:t>Calculation of the Solvency Capital Requirement</w:t>
            </w:r>
          </w:p>
        </w:tc>
      </w:tr>
      <w:tr w:rsidR="00222CCD" w:rsidRPr="00222CCD" w:rsidTr="0022365E">
        <w:trPr>
          <w:trHeight w:val="240"/>
        </w:trPr>
        <w:tc>
          <w:tcPr>
            <w:tcW w:w="4835" w:type="dxa"/>
            <w:tcBorders>
              <w:top w:val="nil"/>
              <w:left w:val="nil"/>
              <w:bottom w:val="nil"/>
              <w:right w:val="nil"/>
            </w:tcBorders>
            <w:shd w:val="clear" w:color="000000" w:fill="FFFFFF"/>
            <w:vAlign w:val="center"/>
            <w:hideMark/>
          </w:tcPr>
          <w:p w:rsidR="00222CCD" w:rsidRPr="00222CCD" w:rsidRDefault="00222CCD" w:rsidP="00222CCD">
            <w:pPr>
              <w:jc w:val="center"/>
              <w:rPr>
                <w:b/>
                <w:bCs/>
                <w:sz w:val="18"/>
                <w:szCs w:val="18"/>
              </w:rPr>
            </w:pPr>
            <w:r w:rsidRPr="00222CCD">
              <w:rPr>
                <w:b/>
                <w:bCs/>
                <w:sz w:val="18"/>
                <w:szCs w:val="18"/>
              </w:rPr>
              <w:t>C0010</w:t>
            </w:r>
          </w:p>
        </w:tc>
        <w:tc>
          <w:tcPr>
            <w:tcW w:w="1380" w:type="dxa"/>
            <w:tcBorders>
              <w:top w:val="nil"/>
              <w:left w:val="nil"/>
              <w:bottom w:val="nil"/>
              <w:right w:val="nil"/>
            </w:tcBorders>
            <w:shd w:val="clear" w:color="000000" w:fill="FFFFFF"/>
            <w:vAlign w:val="center"/>
            <w:hideMark/>
          </w:tcPr>
          <w:p w:rsidR="00222CCD" w:rsidRPr="00222CCD" w:rsidRDefault="00222CCD" w:rsidP="00222CCD">
            <w:pPr>
              <w:jc w:val="center"/>
              <w:rPr>
                <w:b/>
                <w:bCs/>
                <w:sz w:val="18"/>
                <w:szCs w:val="18"/>
              </w:rPr>
            </w:pPr>
            <w:r w:rsidRPr="00222CCD">
              <w:rPr>
                <w:b/>
                <w:bCs/>
                <w:sz w:val="18"/>
                <w:szCs w:val="18"/>
              </w:rPr>
              <w:t>C0020</w:t>
            </w:r>
          </w:p>
        </w:tc>
        <w:tc>
          <w:tcPr>
            <w:tcW w:w="1226" w:type="dxa"/>
            <w:tcBorders>
              <w:top w:val="nil"/>
              <w:left w:val="nil"/>
              <w:bottom w:val="nil"/>
              <w:right w:val="nil"/>
            </w:tcBorders>
            <w:shd w:val="clear" w:color="000000" w:fill="FFFFFF"/>
            <w:vAlign w:val="center"/>
            <w:hideMark/>
          </w:tcPr>
          <w:p w:rsidR="00222CCD" w:rsidRPr="00222CCD" w:rsidRDefault="00222CCD" w:rsidP="00222CCD">
            <w:pPr>
              <w:jc w:val="center"/>
              <w:rPr>
                <w:b/>
                <w:bCs/>
                <w:sz w:val="18"/>
                <w:szCs w:val="18"/>
              </w:rPr>
            </w:pPr>
            <w:r w:rsidRPr="00222CCD">
              <w:rPr>
                <w:b/>
                <w:bCs/>
                <w:sz w:val="18"/>
                <w:szCs w:val="18"/>
              </w:rPr>
              <w:t>C0030</w:t>
            </w:r>
          </w:p>
        </w:tc>
      </w:tr>
    </w:tbl>
    <w:p w:rsidR="00222CCD" w:rsidRDefault="00222CCD" w:rsidP="006B5D69">
      <w:pPr>
        <w:pStyle w:val="ListParagraph"/>
        <w:ind w:left="426"/>
        <w:rPr>
          <w:rFonts w:ascii="Times New Roman" w:hAnsi="Times New Roman"/>
          <w:sz w:val="24"/>
          <w:lang w:val="en-GB"/>
        </w:rPr>
      </w:pPr>
    </w:p>
    <w:p w:rsidR="009A32AF" w:rsidRPr="008E2278" w:rsidRDefault="0077709A" w:rsidP="00222CCD">
      <w:pPr>
        <w:pStyle w:val="ListParagraph"/>
        <w:numPr>
          <w:ilvl w:val="0"/>
          <w:numId w:val="72"/>
        </w:numPr>
        <w:ind w:left="426"/>
        <w:rPr>
          <w:rFonts w:ascii="Times New Roman" w:hAnsi="Times New Roman"/>
          <w:sz w:val="24"/>
          <w:lang w:val="en-GB"/>
        </w:rPr>
      </w:pPr>
      <w:r w:rsidRPr="00222CCD">
        <w:rPr>
          <w:rFonts w:ascii="Times New Roman" w:hAnsi="Times New Roman"/>
          <w:sz w:val="24"/>
          <w:lang w:val="en-GB"/>
        </w:rPr>
        <w:t>Both Annex II and III to Implementing Regulation (EU) 2015/2452 are corr</w:t>
      </w:r>
      <w:r w:rsidRPr="009A5F94">
        <w:rPr>
          <w:rFonts w:ascii="Times New Roman" w:hAnsi="Times New Roman"/>
          <w:sz w:val="24"/>
          <w:lang w:val="en-GB"/>
        </w:rPr>
        <w:t>ected as follows:</w:t>
      </w:r>
    </w:p>
    <w:p w:rsidR="00501BDA" w:rsidRPr="008E2278" w:rsidRDefault="00501BDA" w:rsidP="00501BDA">
      <w:pPr>
        <w:pStyle w:val="ListParagraph"/>
        <w:rPr>
          <w:rFonts w:ascii="Times New Roman" w:hAnsi="Times New Roman"/>
          <w:noProof/>
          <w:sz w:val="24"/>
          <w:lang w:val="en-GB"/>
        </w:rPr>
      </w:pPr>
    </w:p>
    <w:p w:rsidR="00F54022" w:rsidRPr="008E2278" w:rsidRDefault="00F54022" w:rsidP="008E2278">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 xml:space="preserve">template </w:t>
      </w:r>
      <w:r w:rsidRPr="008E2278">
        <w:rPr>
          <w:rFonts w:ascii="Times New Roman" w:hAnsi="Times New Roman"/>
          <w:noProof/>
          <w:sz w:val="24"/>
          <w:lang w:val="en-GB"/>
        </w:rPr>
        <w:t>S.05.01.</w:t>
      </w:r>
      <w:r w:rsidR="00ED22BD" w:rsidRPr="008E2278">
        <w:rPr>
          <w:rFonts w:ascii="Times New Roman" w:hAnsi="Times New Roman"/>
          <w:noProof/>
          <w:sz w:val="24"/>
          <w:lang w:val="en-GB"/>
        </w:rPr>
        <w:t>C0010 to C0120/R0410</w:t>
      </w:r>
      <w:r w:rsidRPr="008E2278">
        <w:rPr>
          <w:rFonts w:ascii="Times New Roman" w:hAnsi="Times New Roman"/>
          <w:noProof/>
          <w:sz w:val="24"/>
          <w:lang w:val="en-GB"/>
        </w:rPr>
        <w:t xml:space="preserve"> </w:t>
      </w:r>
      <w:r w:rsidRPr="00222CCD">
        <w:rPr>
          <w:rFonts w:ascii="Times New Roman" w:hAnsi="Times New Roman"/>
          <w:noProof/>
          <w:sz w:val="24"/>
          <w:lang w:val="en-GB"/>
        </w:rPr>
        <w:t xml:space="preserve">the </w:t>
      </w:r>
      <w:r w:rsidR="009A5F94" w:rsidRPr="00222CCD">
        <w:rPr>
          <w:rFonts w:ascii="Times New Roman" w:hAnsi="Times New Roman"/>
          <w:noProof/>
          <w:sz w:val="24"/>
          <w:lang w:val="en-GB"/>
        </w:rPr>
        <w:t xml:space="preserve">row is </w:t>
      </w:r>
      <w:r w:rsidRPr="008E2278">
        <w:rPr>
          <w:rFonts w:ascii="Times New Roman" w:hAnsi="Times New Roman"/>
          <w:noProof/>
          <w:sz w:val="24"/>
          <w:lang w:val="en-GB"/>
        </w:rPr>
        <w:t xml:space="preserve">replaced by the following: </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420"/>
      </w:tblGrid>
      <w:tr w:rsidR="008E2278" w:rsidRPr="008E2278" w:rsidTr="0022365E">
        <w:tc>
          <w:tcPr>
            <w:tcW w:w="1526" w:type="dxa"/>
            <w:tcBorders>
              <w:right w:val="single" w:sz="4" w:space="0" w:color="000000"/>
            </w:tcBorders>
          </w:tcPr>
          <w:p w:rsidR="0046430D" w:rsidRPr="008E2278" w:rsidRDefault="0046430D" w:rsidP="00415398">
            <w:pPr>
              <w:rPr>
                <w:sz w:val="20"/>
                <w:szCs w:val="20"/>
                <w:lang w:val="en-US"/>
              </w:rPr>
            </w:pPr>
            <w:r w:rsidRPr="008E2278">
              <w:rPr>
                <w:sz w:val="20"/>
                <w:szCs w:val="20"/>
                <w:lang w:val="en-US"/>
              </w:rPr>
              <w:t>C0010 to C0120/R0410</w:t>
            </w:r>
          </w:p>
        </w:tc>
        <w:tc>
          <w:tcPr>
            <w:tcW w:w="1701" w:type="dxa"/>
            <w:tcBorders>
              <w:left w:val="single" w:sz="4" w:space="0" w:color="000000"/>
              <w:right w:val="single" w:sz="4" w:space="0" w:color="000000"/>
            </w:tcBorders>
          </w:tcPr>
          <w:p w:rsidR="0046430D" w:rsidRPr="008E2278" w:rsidRDefault="0046430D" w:rsidP="00415398">
            <w:pPr>
              <w:rPr>
                <w:sz w:val="20"/>
                <w:szCs w:val="20"/>
                <w:lang w:val="en-US"/>
              </w:rPr>
            </w:pPr>
            <w:r w:rsidRPr="008E2278">
              <w:rPr>
                <w:sz w:val="20"/>
                <w:szCs w:val="20"/>
                <w:lang w:val="en-US"/>
              </w:rPr>
              <w:t xml:space="preserve">Changes in other technical provisions – Gross - Direct business </w:t>
            </w:r>
          </w:p>
        </w:tc>
        <w:tc>
          <w:tcPr>
            <w:tcW w:w="5420" w:type="dxa"/>
            <w:tcBorders>
              <w:left w:val="single" w:sz="4" w:space="0" w:color="000000"/>
              <w:right w:val="single" w:sz="4" w:space="0" w:color="000000"/>
            </w:tcBorders>
          </w:tcPr>
          <w:p w:rsidR="0046430D" w:rsidRPr="008E2278" w:rsidRDefault="0046430D" w:rsidP="00415398">
            <w:pPr>
              <w:jc w:val="both"/>
              <w:rPr>
                <w:sz w:val="20"/>
                <w:szCs w:val="20"/>
                <w:lang w:val="en-US"/>
              </w:rPr>
            </w:pPr>
            <w:r w:rsidRPr="008E2278">
              <w:rPr>
                <w:sz w:val="20"/>
                <w:szCs w:val="20"/>
                <w:lang w:val="en-US"/>
              </w:rPr>
              <w:t>Changes in other technical provisions as defined in directive 91/674/EEC where applicable: it is the changes in other technical provisions for the gross direct business.</w:t>
            </w:r>
          </w:p>
          <w:p w:rsidR="0046430D" w:rsidRPr="008E2278" w:rsidRDefault="0046430D" w:rsidP="00415398">
            <w:pPr>
              <w:jc w:val="both"/>
              <w:rPr>
                <w:sz w:val="20"/>
                <w:szCs w:val="20"/>
                <w:highlight w:val="yellow"/>
                <w:lang w:val="en-US"/>
              </w:rPr>
            </w:pPr>
          </w:p>
          <w:p w:rsidR="0046430D" w:rsidRPr="008E2278" w:rsidRDefault="0046430D" w:rsidP="00415398">
            <w:pPr>
              <w:jc w:val="both"/>
              <w:rPr>
                <w:sz w:val="20"/>
                <w:szCs w:val="20"/>
                <w:lang w:val="en-US"/>
              </w:rPr>
            </w:pPr>
            <w:r w:rsidRPr="008E2278">
              <w:rPr>
                <w:sz w:val="20"/>
                <w:szCs w:val="20"/>
                <w:lang w:val="en-US"/>
              </w:rPr>
              <w:t>This item s</w:t>
            </w:r>
            <w:r w:rsidR="009A32AF">
              <w:rPr>
                <w:sz w:val="20"/>
                <w:szCs w:val="20"/>
                <w:lang w:val="en-US"/>
              </w:rPr>
              <w:t>hall</w:t>
            </w:r>
            <w:r w:rsidRPr="008E2278">
              <w:rPr>
                <w:sz w:val="20"/>
                <w:szCs w:val="20"/>
                <w:lang w:val="en-US"/>
              </w:rPr>
              <w:t xml:space="preserve"> be reported as a positive amount if the variation is negative (reduction of other technical provisions leading to a profit) or as a negative amount if variation is positive (increase of other technical provisions leading to a loss).</w:t>
            </w:r>
          </w:p>
        </w:tc>
      </w:tr>
    </w:tbl>
    <w:p w:rsidR="001F33C1" w:rsidRDefault="001F33C1" w:rsidP="006F600D">
      <w:pPr>
        <w:pStyle w:val="ListParagraph"/>
        <w:ind w:left="709"/>
        <w:rPr>
          <w:rFonts w:ascii="Times New Roman" w:hAnsi="Times New Roman"/>
          <w:noProof/>
          <w:sz w:val="24"/>
          <w:lang w:val="en-GB"/>
        </w:rPr>
      </w:pPr>
      <w:r>
        <w:rPr>
          <w:rFonts w:ascii="Times New Roman" w:hAnsi="Times New Roman"/>
          <w:noProof/>
          <w:sz w:val="24"/>
          <w:lang w:val="en-GB"/>
        </w:rPr>
        <w:t>;</w:t>
      </w:r>
    </w:p>
    <w:p w:rsidR="00F54022" w:rsidRPr="008E2278" w:rsidRDefault="00F54022" w:rsidP="008E2278">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S.05.01.C0010 to C0120/R0420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420"/>
      </w:tblGrid>
      <w:tr w:rsidR="008E2278" w:rsidRPr="008E2278" w:rsidTr="0022365E">
        <w:tc>
          <w:tcPr>
            <w:tcW w:w="1526" w:type="dxa"/>
            <w:tcBorders>
              <w:right w:val="single" w:sz="4" w:space="0" w:color="000000"/>
            </w:tcBorders>
          </w:tcPr>
          <w:p w:rsidR="00F54022" w:rsidRPr="008E2278" w:rsidRDefault="00F54022" w:rsidP="00415398">
            <w:pPr>
              <w:rPr>
                <w:sz w:val="20"/>
                <w:szCs w:val="20"/>
                <w:lang w:val="en-US"/>
              </w:rPr>
            </w:pPr>
            <w:r w:rsidRPr="008E2278">
              <w:rPr>
                <w:sz w:val="20"/>
                <w:szCs w:val="20"/>
                <w:lang w:val="en-US"/>
              </w:rPr>
              <w:t>C0010 to C0120/R0420</w:t>
            </w:r>
          </w:p>
        </w:tc>
        <w:tc>
          <w:tcPr>
            <w:tcW w:w="1701" w:type="dxa"/>
            <w:tcBorders>
              <w:left w:val="single" w:sz="4" w:space="0" w:color="000000"/>
              <w:right w:val="single" w:sz="4" w:space="0" w:color="000000"/>
            </w:tcBorders>
          </w:tcPr>
          <w:p w:rsidR="00F54022" w:rsidRPr="008E2278" w:rsidRDefault="00F54022" w:rsidP="00415398">
            <w:pPr>
              <w:rPr>
                <w:sz w:val="20"/>
                <w:szCs w:val="20"/>
                <w:lang w:val="en-US"/>
              </w:rPr>
            </w:pPr>
            <w:r w:rsidRPr="008E2278">
              <w:rPr>
                <w:sz w:val="20"/>
                <w:szCs w:val="20"/>
                <w:lang w:val="en-US"/>
              </w:rPr>
              <w:t>Changes in other technical provisions – Gross – Proportional reinsurance accepted</w:t>
            </w:r>
          </w:p>
        </w:tc>
        <w:tc>
          <w:tcPr>
            <w:tcW w:w="5420" w:type="dxa"/>
            <w:tcBorders>
              <w:left w:val="single" w:sz="4" w:space="0" w:color="000000"/>
              <w:right w:val="single" w:sz="4" w:space="0" w:color="000000"/>
            </w:tcBorders>
          </w:tcPr>
          <w:p w:rsidR="00F54022" w:rsidRPr="008E2278" w:rsidRDefault="00F54022" w:rsidP="00415398">
            <w:pPr>
              <w:jc w:val="both"/>
              <w:rPr>
                <w:sz w:val="20"/>
                <w:szCs w:val="20"/>
                <w:lang w:val="en-US"/>
              </w:rPr>
            </w:pPr>
            <w:r w:rsidRPr="008E2278">
              <w:rPr>
                <w:sz w:val="20"/>
                <w:szCs w:val="20"/>
                <w:lang w:val="en-US"/>
              </w:rPr>
              <w:t>Changes in other technical provisions as defined in directive 91/674/EEC where applicable: it is the changes in other technical provisions for the gross proportional reinsurance accepted.</w:t>
            </w:r>
          </w:p>
          <w:p w:rsidR="00F54022" w:rsidRPr="008E2278" w:rsidRDefault="00F54022" w:rsidP="00415398">
            <w:pPr>
              <w:jc w:val="both"/>
              <w:rPr>
                <w:sz w:val="20"/>
                <w:szCs w:val="20"/>
                <w:highlight w:val="yellow"/>
                <w:lang w:val="en-US"/>
              </w:rPr>
            </w:pPr>
          </w:p>
          <w:p w:rsidR="00F54022" w:rsidRPr="008E2278" w:rsidRDefault="00F54022" w:rsidP="00415398">
            <w:pPr>
              <w:jc w:val="both"/>
              <w:rPr>
                <w:sz w:val="20"/>
                <w:szCs w:val="20"/>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(reduction of other technical provisions leading to a profit) or as a negative amount if variation is positive (increase of other technical provisions leading to a loss).</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6D691D" w:rsidRPr="008E2278" w:rsidRDefault="006D691D"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S.05.01.C0130 to C0160/R0430 the </w:t>
      </w:r>
      <w:r w:rsidR="00222CCD">
        <w:rPr>
          <w:rFonts w:ascii="Times New Roman" w:hAnsi="Times New Roman"/>
          <w:noProof/>
          <w:sz w:val="24"/>
          <w:lang w:val="en-GB"/>
        </w:rPr>
        <w:t>row</w:t>
      </w:r>
      <w:r w:rsidR="00222CCD" w:rsidRPr="008E2278">
        <w:rPr>
          <w:rFonts w:ascii="Times New Roman" w:hAnsi="Times New Roman"/>
          <w:noProof/>
          <w:sz w:val="24"/>
          <w:lang w:val="en-GB"/>
        </w:rPr>
        <w:t xml:space="preserve"> </w:t>
      </w:r>
      <w:r w:rsidR="00222CCD">
        <w:rPr>
          <w:rFonts w:ascii="Times New Roman" w:hAnsi="Times New Roman"/>
          <w:noProof/>
          <w:sz w:val="24"/>
          <w:lang w:val="en-GB"/>
        </w:rPr>
        <w:t>is</w:t>
      </w:r>
      <w:r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420"/>
      </w:tblGrid>
      <w:tr w:rsidR="008E2278" w:rsidRPr="008E2278" w:rsidTr="0022365E">
        <w:tc>
          <w:tcPr>
            <w:tcW w:w="1526" w:type="dxa"/>
            <w:tcBorders>
              <w:right w:val="single" w:sz="4" w:space="0" w:color="000000"/>
            </w:tcBorders>
          </w:tcPr>
          <w:p w:rsidR="006D691D" w:rsidRPr="008E2278" w:rsidRDefault="006D691D" w:rsidP="00C539AD">
            <w:pPr>
              <w:rPr>
                <w:sz w:val="20"/>
                <w:szCs w:val="20"/>
                <w:lang w:val="en-US"/>
              </w:rPr>
            </w:pPr>
            <w:r w:rsidRPr="008E2278">
              <w:rPr>
                <w:sz w:val="20"/>
                <w:szCs w:val="20"/>
                <w:lang w:val="en-US"/>
              </w:rPr>
              <w:t>C0130 to C0160/R0430</w:t>
            </w:r>
          </w:p>
        </w:tc>
        <w:tc>
          <w:tcPr>
            <w:tcW w:w="1701" w:type="dxa"/>
            <w:tcBorders>
              <w:left w:val="single" w:sz="4" w:space="0" w:color="000000"/>
              <w:right w:val="single" w:sz="4" w:space="0" w:color="000000"/>
            </w:tcBorders>
          </w:tcPr>
          <w:p w:rsidR="006D691D" w:rsidRPr="008E2278" w:rsidRDefault="006D691D" w:rsidP="00C539AD">
            <w:pPr>
              <w:rPr>
                <w:sz w:val="20"/>
                <w:szCs w:val="20"/>
                <w:lang w:val="en-US"/>
              </w:rPr>
            </w:pPr>
            <w:r w:rsidRPr="008E2278">
              <w:rPr>
                <w:sz w:val="20"/>
                <w:szCs w:val="20"/>
                <w:lang w:val="en-US"/>
              </w:rPr>
              <w:t>Changes in other technical provisions  - Gross - Non- proportional reinsurance accepted</w:t>
            </w:r>
          </w:p>
        </w:tc>
        <w:tc>
          <w:tcPr>
            <w:tcW w:w="5420" w:type="dxa"/>
            <w:tcBorders>
              <w:left w:val="single" w:sz="4" w:space="0" w:color="000000"/>
              <w:right w:val="single" w:sz="4" w:space="0" w:color="000000"/>
            </w:tcBorders>
          </w:tcPr>
          <w:p w:rsidR="006D691D" w:rsidRPr="008E2278" w:rsidRDefault="006D691D" w:rsidP="00C539AD">
            <w:pPr>
              <w:jc w:val="both"/>
              <w:rPr>
                <w:sz w:val="20"/>
                <w:szCs w:val="20"/>
                <w:lang w:val="en-US"/>
              </w:rPr>
            </w:pPr>
            <w:r w:rsidRPr="008E2278">
              <w:rPr>
                <w:sz w:val="20"/>
                <w:szCs w:val="20"/>
                <w:lang w:val="en-US"/>
              </w:rPr>
              <w:t>Changes in other technical provisions as defined in directive 91/674/EEC where applicable: it is the changes in other technical provisions for the gross non- proportional reinsurance accepted.</w:t>
            </w:r>
          </w:p>
          <w:p w:rsidR="006D691D" w:rsidRPr="008E2278" w:rsidRDefault="006D691D" w:rsidP="00C539AD">
            <w:pPr>
              <w:jc w:val="both"/>
              <w:rPr>
                <w:sz w:val="20"/>
                <w:szCs w:val="20"/>
                <w:highlight w:val="yellow"/>
                <w:lang w:val="en-US"/>
              </w:rPr>
            </w:pPr>
          </w:p>
          <w:p w:rsidR="006D691D" w:rsidRPr="008E2278" w:rsidRDefault="006D691D" w:rsidP="00C539AD">
            <w:pPr>
              <w:jc w:val="both"/>
              <w:rPr>
                <w:sz w:val="20"/>
                <w:szCs w:val="20"/>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(reduction of other technical provisions leading to a profit) or as a negative amount if variation is positive (increase of other technical</w:t>
            </w:r>
            <w:r w:rsidR="00B952BB" w:rsidRPr="008E2278">
              <w:rPr>
                <w:sz w:val="20"/>
                <w:szCs w:val="20"/>
                <w:lang w:val="en-US"/>
              </w:rPr>
              <w:t xml:space="preserve"> provisions leading to a loss).</w:t>
            </w:r>
          </w:p>
        </w:tc>
      </w:tr>
    </w:tbl>
    <w:p w:rsidR="006D691D" w:rsidRPr="008E2278" w:rsidRDefault="006D691D"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S.05.01.</w:t>
      </w:r>
      <w:r w:rsidR="00EB488C" w:rsidRPr="008E2278">
        <w:rPr>
          <w:rFonts w:ascii="Times New Roman" w:hAnsi="Times New Roman"/>
          <w:noProof/>
          <w:sz w:val="24"/>
          <w:lang w:val="en-GB"/>
        </w:rPr>
        <w:t>C0010 to C0160/R0440</w:t>
      </w:r>
      <w:r w:rsidRPr="008E2278">
        <w:rPr>
          <w:rFonts w:ascii="Times New Roman" w:hAnsi="Times New Roman"/>
          <w:noProof/>
          <w:sz w:val="24"/>
          <w:lang w:val="en-GB"/>
        </w:rPr>
        <w:t xml:space="preserve">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420"/>
      </w:tblGrid>
      <w:tr w:rsidR="008E2278" w:rsidRPr="008E2278" w:rsidTr="0022365E">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01BDA" w:rsidRPr="008E2278" w:rsidRDefault="00501BDA" w:rsidP="00C539AD">
            <w:pPr>
              <w:rPr>
                <w:sz w:val="20"/>
                <w:szCs w:val="20"/>
                <w:lang w:val="en-US"/>
              </w:rPr>
            </w:pPr>
            <w:r w:rsidRPr="008E2278">
              <w:rPr>
                <w:sz w:val="20"/>
                <w:szCs w:val="20"/>
                <w:lang w:val="en-US"/>
              </w:rPr>
              <w:t>C0010 to C0160/R0440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01BDA" w:rsidRPr="008E2278" w:rsidRDefault="00501BDA" w:rsidP="00C539AD">
            <w:pPr>
              <w:rPr>
                <w:sz w:val="20"/>
                <w:szCs w:val="20"/>
                <w:lang w:val="en-US"/>
              </w:rPr>
            </w:pPr>
            <w:r w:rsidRPr="008E2278">
              <w:rPr>
                <w:sz w:val="20"/>
                <w:szCs w:val="20"/>
                <w:lang w:val="en-US"/>
              </w:rPr>
              <w:t>Changes in other technical provisions - Reinsurers' share</w:t>
            </w:r>
          </w:p>
        </w:tc>
        <w:tc>
          <w:tcPr>
            <w:tcW w:w="5420" w:type="dxa"/>
            <w:tcBorders>
              <w:top w:val="single" w:sz="4" w:space="0" w:color="000000"/>
              <w:left w:val="single" w:sz="4" w:space="0" w:color="000000"/>
              <w:bottom w:val="single" w:sz="4" w:space="0" w:color="000000"/>
              <w:right w:val="single" w:sz="4" w:space="0" w:color="000000"/>
            </w:tcBorders>
            <w:shd w:val="clear" w:color="auto" w:fill="auto"/>
          </w:tcPr>
          <w:p w:rsidR="00501BDA" w:rsidRPr="008E2278" w:rsidRDefault="00501BDA" w:rsidP="00501BDA">
            <w:pPr>
              <w:jc w:val="both"/>
              <w:rPr>
                <w:sz w:val="20"/>
                <w:szCs w:val="20"/>
                <w:lang w:val="en-US"/>
              </w:rPr>
            </w:pPr>
            <w:r w:rsidRPr="008E2278">
              <w:rPr>
                <w:sz w:val="20"/>
                <w:szCs w:val="20"/>
                <w:lang w:val="en-US"/>
              </w:rPr>
              <w:t>Changes in other technical provisions as defined in directive 91/674/EEC where applicable: it is the changes in other technical provisions related to the amounts ceded to reinsurers.</w:t>
            </w:r>
          </w:p>
          <w:p w:rsidR="00501BDA" w:rsidRPr="008E2278" w:rsidRDefault="00501BDA" w:rsidP="00283955">
            <w:pPr>
              <w:jc w:val="both"/>
              <w:rPr>
                <w:sz w:val="20"/>
                <w:szCs w:val="20"/>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or as a negative amount if variation is positive.</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EB488C" w:rsidRPr="008E2278" w:rsidRDefault="00EB488C"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 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S.05.01.C0010 to C0160/R0500 the </w:t>
      </w:r>
      <w:r w:rsidR="00222CCD">
        <w:rPr>
          <w:rFonts w:ascii="Times New Roman" w:hAnsi="Times New Roman"/>
          <w:noProof/>
          <w:sz w:val="24"/>
          <w:lang w:val="en-GB"/>
        </w:rPr>
        <w:t>row</w:t>
      </w:r>
      <w:r w:rsidR="00222CCD" w:rsidRPr="008E2278">
        <w:rPr>
          <w:rFonts w:ascii="Times New Roman" w:hAnsi="Times New Roman"/>
          <w:noProof/>
          <w:sz w:val="24"/>
          <w:lang w:val="en-GB"/>
        </w:rPr>
        <w:t xml:space="preserve"> </w:t>
      </w:r>
      <w:r w:rsidR="00222CCD">
        <w:rPr>
          <w:rFonts w:ascii="Times New Roman" w:hAnsi="Times New Roman"/>
          <w:noProof/>
          <w:sz w:val="24"/>
          <w:lang w:val="en-GB"/>
        </w:rPr>
        <w:t>is</w:t>
      </w:r>
      <w:r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420"/>
      </w:tblGrid>
      <w:tr w:rsidR="008E2278" w:rsidRPr="008E2278" w:rsidTr="0022365E">
        <w:trPr>
          <w:trHeight w:val="557"/>
        </w:trPr>
        <w:tc>
          <w:tcPr>
            <w:tcW w:w="1526" w:type="dxa"/>
            <w:tcBorders>
              <w:right w:val="single" w:sz="4" w:space="0" w:color="000000"/>
            </w:tcBorders>
          </w:tcPr>
          <w:p w:rsidR="00EB488C" w:rsidRPr="008E2278" w:rsidRDefault="00EB488C" w:rsidP="00C539AD">
            <w:pPr>
              <w:rPr>
                <w:sz w:val="20"/>
                <w:szCs w:val="20"/>
                <w:lang w:val="en-US"/>
              </w:rPr>
            </w:pPr>
            <w:r w:rsidRPr="008E2278">
              <w:rPr>
                <w:sz w:val="20"/>
                <w:szCs w:val="20"/>
                <w:lang w:val="en-US"/>
              </w:rPr>
              <w:t>C0010 to C0160/R0500</w:t>
            </w:r>
          </w:p>
        </w:tc>
        <w:tc>
          <w:tcPr>
            <w:tcW w:w="1701" w:type="dxa"/>
            <w:tcBorders>
              <w:left w:val="single" w:sz="4" w:space="0" w:color="000000"/>
              <w:right w:val="single" w:sz="4" w:space="0" w:color="000000"/>
            </w:tcBorders>
          </w:tcPr>
          <w:p w:rsidR="00EB488C" w:rsidRPr="008E2278" w:rsidRDefault="00EB488C" w:rsidP="00C539AD">
            <w:pPr>
              <w:rPr>
                <w:sz w:val="20"/>
                <w:szCs w:val="20"/>
                <w:lang w:val="en-US"/>
              </w:rPr>
            </w:pPr>
            <w:r w:rsidRPr="008E2278">
              <w:rPr>
                <w:sz w:val="20"/>
                <w:szCs w:val="20"/>
                <w:lang w:val="en-US"/>
              </w:rPr>
              <w:t>Changes in other technical provisions - Net</w:t>
            </w:r>
          </w:p>
        </w:tc>
        <w:tc>
          <w:tcPr>
            <w:tcW w:w="5420" w:type="dxa"/>
            <w:tcBorders>
              <w:left w:val="single" w:sz="4" w:space="0" w:color="000000"/>
              <w:right w:val="single" w:sz="4" w:space="0" w:color="000000"/>
            </w:tcBorders>
          </w:tcPr>
          <w:p w:rsidR="00EB488C" w:rsidRPr="008E2278" w:rsidRDefault="00EB488C" w:rsidP="00C539AD">
            <w:pPr>
              <w:jc w:val="both"/>
              <w:rPr>
                <w:sz w:val="20"/>
                <w:szCs w:val="20"/>
                <w:lang w:val="en-US"/>
              </w:rPr>
            </w:pPr>
            <w:r w:rsidRPr="008E2278">
              <w:rPr>
                <w:sz w:val="20"/>
                <w:szCs w:val="20"/>
                <w:lang w:val="en-US"/>
              </w:rPr>
              <w:t xml:space="preserve">Changes in other technical provisions as defined in directive 91/674/EEC where applicable: the net </w:t>
            </w:r>
            <w:proofErr w:type="gramStart"/>
            <w:r w:rsidRPr="008E2278">
              <w:rPr>
                <w:sz w:val="20"/>
                <w:szCs w:val="20"/>
                <w:lang w:val="en-US"/>
              </w:rPr>
              <w:t>amount of changes in other technical provisions represent</w:t>
            </w:r>
            <w:proofErr w:type="gramEnd"/>
            <w:r w:rsidRPr="008E2278">
              <w:rPr>
                <w:sz w:val="20"/>
                <w:szCs w:val="20"/>
                <w:lang w:val="en-US"/>
              </w:rPr>
              <w:t xml:space="preserve"> the sum of the direct business and the accepted </w:t>
            </w:r>
            <w:r w:rsidR="005F025B" w:rsidRPr="008E2278">
              <w:rPr>
                <w:sz w:val="20"/>
                <w:szCs w:val="20"/>
                <w:lang w:val="en-US"/>
              </w:rPr>
              <w:t>re</w:t>
            </w:r>
            <w:r w:rsidRPr="008E2278">
              <w:rPr>
                <w:sz w:val="20"/>
                <w:szCs w:val="20"/>
                <w:lang w:val="en-US"/>
              </w:rPr>
              <w:t xml:space="preserve">insurance business reduced by the amount ceded to reinsurance undertakings. </w:t>
            </w:r>
          </w:p>
          <w:p w:rsidR="00EB488C" w:rsidRPr="008E2278" w:rsidRDefault="00EB488C" w:rsidP="00C25381">
            <w:pPr>
              <w:jc w:val="both"/>
              <w:rPr>
                <w:sz w:val="20"/>
                <w:szCs w:val="20"/>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(reduction of other technical provisions leading to a profit) or as a negative amount if variation is positive (increase of other technical provisions leading to a loss).</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EB488C" w:rsidRPr="008E2278" w:rsidRDefault="00EB488C"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S.05.01.C0010 to C0160/R</w:t>
      </w:r>
      <w:r w:rsidR="00C25381" w:rsidRPr="008E2278">
        <w:rPr>
          <w:rFonts w:ascii="Times New Roman" w:hAnsi="Times New Roman"/>
          <w:noProof/>
          <w:sz w:val="24"/>
          <w:lang w:val="en-GB"/>
        </w:rPr>
        <w:t>1710</w:t>
      </w:r>
      <w:r w:rsidRPr="008E2278">
        <w:rPr>
          <w:rFonts w:ascii="Times New Roman" w:hAnsi="Times New Roman"/>
          <w:noProof/>
          <w:sz w:val="24"/>
          <w:lang w:val="en-GB"/>
        </w:rPr>
        <w:t xml:space="preserve">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420"/>
      </w:tblGrid>
      <w:tr w:rsidR="008E2278" w:rsidRPr="008E2278" w:rsidTr="0022365E">
        <w:tc>
          <w:tcPr>
            <w:tcW w:w="1526" w:type="dxa"/>
            <w:tcBorders>
              <w:right w:val="single" w:sz="4" w:space="0" w:color="000000"/>
            </w:tcBorders>
          </w:tcPr>
          <w:p w:rsidR="00EB488C" w:rsidRPr="008E2278" w:rsidRDefault="00EB488C" w:rsidP="00C539AD">
            <w:pPr>
              <w:rPr>
                <w:sz w:val="20"/>
                <w:szCs w:val="20"/>
                <w:lang w:val="en-US"/>
              </w:rPr>
            </w:pPr>
            <w:r w:rsidRPr="008E2278">
              <w:rPr>
                <w:sz w:val="20"/>
                <w:szCs w:val="20"/>
                <w:lang w:val="en-US"/>
              </w:rPr>
              <w:t>C0210 to C0280/R1710</w:t>
            </w:r>
          </w:p>
        </w:tc>
        <w:tc>
          <w:tcPr>
            <w:tcW w:w="1701" w:type="dxa"/>
            <w:tcBorders>
              <w:left w:val="single" w:sz="4" w:space="0" w:color="000000"/>
              <w:right w:val="single" w:sz="4" w:space="0" w:color="000000"/>
            </w:tcBorders>
          </w:tcPr>
          <w:p w:rsidR="00EB488C" w:rsidRPr="008E2278" w:rsidRDefault="00EB488C" w:rsidP="00C539AD">
            <w:pPr>
              <w:rPr>
                <w:sz w:val="20"/>
                <w:szCs w:val="20"/>
                <w:lang w:val="en-US"/>
              </w:rPr>
            </w:pPr>
            <w:r w:rsidRPr="008E2278">
              <w:rPr>
                <w:sz w:val="20"/>
                <w:szCs w:val="20"/>
                <w:lang w:val="en-US"/>
              </w:rPr>
              <w:t>Changes in other technical provisions – Gross - Direct business and reinsurance accepted</w:t>
            </w:r>
          </w:p>
          <w:p w:rsidR="00EB488C" w:rsidRPr="008E2278" w:rsidRDefault="00EB488C" w:rsidP="00C539AD">
            <w:pPr>
              <w:rPr>
                <w:sz w:val="20"/>
                <w:szCs w:val="20"/>
                <w:lang w:val="en-US"/>
              </w:rPr>
            </w:pPr>
          </w:p>
        </w:tc>
        <w:tc>
          <w:tcPr>
            <w:tcW w:w="5420" w:type="dxa"/>
            <w:tcBorders>
              <w:left w:val="single" w:sz="4" w:space="0" w:color="000000"/>
              <w:right w:val="single" w:sz="4" w:space="0" w:color="000000"/>
            </w:tcBorders>
          </w:tcPr>
          <w:p w:rsidR="00EB488C" w:rsidRPr="008E2278" w:rsidRDefault="00EB488C" w:rsidP="00C539AD">
            <w:pPr>
              <w:jc w:val="both"/>
              <w:rPr>
                <w:sz w:val="20"/>
                <w:szCs w:val="20"/>
                <w:lang w:val="en-US"/>
              </w:rPr>
            </w:pPr>
            <w:r w:rsidRPr="008E2278">
              <w:rPr>
                <w:sz w:val="20"/>
                <w:szCs w:val="20"/>
                <w:lang w:val="en-US"/>
              </w:rPr>
              <w:t>Definition of changes in other technical provisions provided in directive 91/674/EEC where applicable: it is the changes in other technical provisions relating to insurance contracts arising from the gross direct and reinsurance business.</w:t>
            </w:r>
          </w:p>
          <w:p w:rsidR="00EB488C" w:rsidRPr="008E2278" w:rsidRDefault="00EB488C" w:rsidP="00C539AD">
            <w:pPr>
              <w:jc w:val="both"/>
              <w:rPr>
                <w:sz w:val="20"/>
                <w:szCs w:val="20"/>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(reduction of other technical provisions leading to a profit) or as a negative amount if variation is positive (increase of other technical provisions leading to a loss).</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EB488C" w:rsidRPr="008E2278" w:rsidRDefault="00EB488C"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S.05.01.C0210 to C0280/R1720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420"/>
      </w:tblGrid>
      <w:tr w:rsidR="008E2278" w:rsidRPr="008E2278" w:rsidTr="0022365E">
        <w:tc>
          <w:tcPr>
            <w:tcW w:w="1526" w:type="dxa"/>
            <w:tcBorders>
              <w:bottom w:val="single" w:sz="4" w:space="0" w:color="000000"/>
              <w:right w:val="single" w:sz="4" w:space="0" w:color="000000"/>
            </w:tcBorders>
          </w:tcPr>
          <w:p w:rsidR="00EB488C" w:rsidRPr="008E2278" w:rsidRDefault="00EB488C" w:rsidP="00C539AD">
            <w:pPr>
              <w:rPr>
                <w:sz w:val="20"/>
                <w:szCs w:val="20"/>
                <w:lang w:val="en-US"/>
              </w:rPr>
            </w:pPr>
            <w:r w:rsidRPr="008E2278">
              <w:rPr>
                <w:sz w:val="20"/>
                <w:szCs w:val="20"/>
                <w:lang w:val="en-US"/>
              </w:rPr>
              <w:t>C0210 to C0280/R1720</w:t>
            </w:r>
          </w:p>
        </w:tc>
        <w:tc>
          <w:tcPr>
            <w:tcW w:w="1701" w:type="dxa"/>
            <w:tcBorders>
              <w:left w:val="single" w:sz="4" w:space="0" w:color="000000"/>
              <w:bottom w:val="single" w:sz="4" w:space="0" w:color="000000"/>
              <w:right w:val="single" w:sz="4" w:space="0" w:color="000000"/>
            </w:tcBorders>
          </w:tcPr>
          <w:p w:rsidR="00EB488C" w:rsidRPr="008E2278" w:rsidRDefault="00EB488C" w:rsidP="00C539AD">
            <w:pPr>
              <w:rPr>
                <w:sz w:val="20"/>
                <w:szCs w:val="20"/>
                <w:lang w:val="en-US"/>
              </w:rPr>
            </w:pPr>
            <w:r w:rsidRPr="008E2278">
              <w:rPr>
                <w:sz w:val="20"/>
                <w:szCs w:val="20"/>
                <w:lang w:val="en-US"/>
              </w:rPr>
              <w:t>Change in other technical provisions - Reinsurers’ share</w:t>
            </w:r>
          </w:p>
        </w:tc>
        <w:tc>
          <w:tcPr>
            <w:tcW w:w="5420" w:type="dxa"/>
            <w:tcBorders>
              <w:left w:val="single" w:sz="4" w:space="0" w:color="000000"/>
              <w:bottom w:val="single" w:sz="4" w:space="0" w:color="000000"/>
              <w:right w:val="single" w:sz="4" w:space="0" w:color="000000"/>
            </w:tcBorders>
          </w:tcPr>
          <w:p w:rsidR="00EB488C" w:rsidRPr="008E2278" w:rsidRDefault="00EB488C" w:rsidP="00C539AD">
            <w:pPr>
              <w:jc w:val="both"/>
              <w:rPr>
                <w:sz w:val="20"/>
                <w:szCs w:val="20"/>
                <w:lang w:val="en-US"/>
              </w:rPr>
            </w:pPr>
            <w:r w:rsidRPr="008E2278">
              <w:rPr>
                <w:sz w:val="20"/>
                <w:szCs w:val="20"/>
                <w:lang w:val="en-US"/>
              </w:rPr>
              <w:t>Definition of changes in other technical provisions provided in directive 91/674/EEC where applicable: it is the reinsurers’ share in changes in other technical provisions.</w:t>
            </w:r>
          </w:p>
          <w:p w:rsidR="00EB488C" w:rsidRPr="008E2278" w:rsidRDefault="00EB488C" w:rsidP="00805C7D">
            <w:pPr>
              <w:jc w:val="both"/>
              <w:rPr>
                <w:sz w:val="20"/>
                <w:szCs w:val="20"/>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or as a negative amount if variation is positive.</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EB488C" w:rsidRPr="008E2278" w:rsidRDefault="00EB488C"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S.05.01.C0210 to C0280/R1800 the </w:t>
      </w:r>
      <w:r w:rsidR="00222CCD">
        <w:rPr>
          <w:rFonts w:ascii="Times New Roman" w:hAnsi="Times New Roman"/>
          <w:noProof/>
          <w:sz w:val="24"/>
          <w:lang w:val="en-GB"/>
        </w:rPr>
        <w:t>row</w:t>
      </w:r>
      <w:r w:rsidR="00222CCD" w:rsidRPr="008E2278">
        <w:rPr>
          <w:rFonts w:ascii="Times New Roman" w:hAnsi="Times New Roman"/>
          <w:noProof/>
          <w:sz w:val="24"/>
          <w:lang w:val="en-GB"/>
        </w:rPr>
        <w:t xml:space="preserve"> </w:t>
      </w:r>
      <w:r w:rsidR="00222CCD">
        <w:rPr>
          <w:rFonts w:ascii="Times New Roman" w:hAnsi="Times New Roman"/>
          <w:noProof/>
          <w:sz w:val="24"/>
          <w:lang w:val="en-GB"/>
        </w:rPr>
        <w:t>is</w:t>
      </w:r>
      <w:r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420"/>
      </w:tblGrid>
      <w:tr w:rsidR="008E2278" w:rsidRPr="008E2278" w:rsidTr="0022365E">
        <w:tc>
          <w:tcPr>
            <w:tcW w:w="1526" w:type="dxa"/>
            <w:tcBorders>
              <w:right w:val="single" w:sz="4" w:space="0" w:color="000000"/>
            </w:tcBorders>
          </w:tcPr>
          <w:p w:rsidR="00EB488C" w:rsidRPr="008E2278" w:rsidRDefault="00EB488C" w:rsidP="00C539AD">
            <w:pPr>
              <w:rPr>
                <w:sz w:val="20"/>
                <w:szCs w:val="20"/>
                <w:lang w:val="en-US"/>
              </w:rPr>
            </w:pPr>
            <w:r w:rsidRPr="008E2278">
              <w:rPr>
                <w:sz w:val="20"/>
                <w:szCs w:val="20"/>
                <w:lang w:val="en-US"/>
              </w:rPr>
              <w:t>C0210 to C0280/R1800</w:t>
            </w:r>
          </w:p>
        </w:tc>
        <w:tc>
          <w:tcPr>
            <w:tcW w:w="1701" w:type="dxa"/>
            <w:tcBorders>
              <w:left w:val="single" w:sz="4" w:space="0" w:color="000000"/>
              <w:right w:val="single" w:sz="4" w:space="0" w:color="000000"/>
            </w:tcBorders>
          </w:tcPr>
          <w:p w:rsidR="00EB488C" w:rsidRPr="008E2278" w:rsidRDefault="00EB488C" w:rsidP="00C539AD">
            <w:pPr>
              <w:rPr>
                <w:sz w:val="20"/>
                <w:szCs w:val="20"/>
                <w:lang w:val="en-US"/>
              </w:rPr>
            </w:pPr>
            <w:r w:rsidRPr="008E2278">
              <w:rPr>
                <w:sz w:val="20"/>
                <w:szCs w:val="20"/>
                <w:lang w:val="en-US"/>
              </w:rPr>
              <w:t>Change in other technical provisions - Net</w:t>
            </w:r>
          </w:p>
        </w:tc>
        <w:tc>
          <w:tcPr>
            <w:tcW w:w="5420" w:type="dxa"/>
            <w:tcBorders>
              <w:left w:val="single" w:sz="4" w:space="0" w:color="000000"/>
              <w:right w:val="single" w:sz="4" w:space="0" w:color="000000"/>
            </w:tcBorders>
          </w:tcPr>
          <w:p w:rsidR="00EB488C" w:rsidRPr="008E2278" w:rsidRDefault="00EB488C" w:rsidP="00C539AD">
            <w:pPr>
              <w:jc w:val="both"/>
              <w:rPr>
                <w:sz w:val="20"/>
                <w:szCs w:val="20"/>
                <w:lang w:val="en-US"/>
              </w:rPr>
            </w:pPr>
            <w:r w:rsidRPr="008E2278">
              <w:rPr>
                <w:sz w:val="20"/>
                <w:szCs w:val="20"/>
                <w:lang w:val="en-US"/>
              </w:rPr>
              <w:t xml:space="preserve">Definition of changes in other technical provisions provided in directive 91/674/EEC where applicable: the net changes in other technical provisions related to the sum of the direct business and the accepted </w:t>
            </w:r>
            <w:r w:rsidR="005F025B" w:rsidRPr="008E2278">
              <w:rPr>
                <w:sz w:val="20"/>
                <w:szCs w:val="20"/>
                <w:lang w:val="en-US"/>
              </w:rPr>
              <w:t>re</w:t>
            </w:r>
            <w:r w:rsidRPr="008E2278">
              <w:rPr>
                <w:sz w:val="20"/>
                <w:szCs w:val="20"/>
                <w:lang w:val="en-US"/>
              </w:rPr>
              <w:t xml:space="preserve">insurance business reduced by the amount ceded to reinsurance undertakings. </w:t>
            </w:r>
          </w:p>
          <w:p w:rsidR="00EB488C" w:rsidRPr="008E2278" w:rsidRDefault="00EB488C" w:rsidP="00C539AD">
            <w:pPr>
              <w:jc w:val="both"/>
              <w:rPr>
                <w:sz w:val="20"/>
                <w:szCs w:val="20"/>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(reduction of other technical provisions leading to a profit) or as a negative amount if variation is positive (increase of other technical provisions leading to a loss).</w:t>
            </w:r>
          </w:p>
        </w:tc>
      </w:tr>
    </w:tbl>
    <w:p w:rsidR="001F33C1" w:rsidRDefault="001F33C1" w:rsidP="006F600D">
      <w:pPr>
        <w:pStyle w:val="ListParagraph"/>
        <w:rPr>
          <w:rFonts w:ascii="Times New Roman" w:hAnsi="Times New Roman"/>
          <w:noProof/>
          <w:color w:val="000000"/>
          <w:sz w:val="24"/>
          <w:lang w:val="en-GB"/>
        </w:rPr>
      </w:pPr>
      <w:r>
        <w:rPr>
          <w:rFonts w:ascii="Times New Roman" w:hAnsi="Times New Roman"/>
          <w:noProof/>
          <w:color w:val="000000"/>
          <w:sz w:val="24"/>
          <w:lang w:val="en-GB"/>
        </w:rPr>
        <w:t>;</w:t>
      </w:r>
    </w:p>
    <w:p w:rsidR="00321282" w:rsidRPr="00CD6D0B" w:rsidRDefault="00321282" w:rsidP="00CD6D0B">
      <w:pPr>
        <w:pStyle w:val="ListParagraph"/>
        <w:numPr>
          <w:ilvl w:val="0"/>
          <w:numId w:val="147"/>
        </w:numPr>
        <w:ind w:left="709"/>
        <w:rPr>
          <w:rFonts w:ascii="Times New Roman" w:hAnsi="Times New Roman"/>
          <w:noProof/>
          <w:sz w:val="24"/>
          <w:lang w:val="en-GB"/>
        </w:rPr>
      </w:pPr>
      <w:r w:rsidRPr="00CD6D0B">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CD6D0B">
        <w:rPr>
          <w:rFonts w:ascii="Times New Roman" w:hAnsi="Times New Roman"/>
          <w:noProof/>
          <w:sz w:val="24"/>
          <w:lang w:val="en-GB"/>
        </w:rPr>
        <w:t>S.05.0</w:t>
      </w:r>
      <w:r w:rsidR="001638B3" w:rsidRPr="00CD6D0B">
        <w:rPr>
          <w:rFonts w:ascii="Times New Roman" w:hAnsi="Times New Roman"/>
          <w:noProof/>
          <w:sz w:val="24"/>
          <w:lang w:val="en-GB"/>
        </w:rPr>
        <w:t>2</w:t>
      </w:r>
      <w:r w:rsidRPr="00CD6D0B">
        <w:rPr>
          <w:rFonts w:ascii="Times New Roman" w:hAnsi="Times New Roman"/>
          <w:noProof/>
          <w:sz w:val="24"/>
          <w:lang w:val="en-GB"/>
        </w:rPr>
        <w:t xml:space="preserve">.C0080 to C0140/R0410 the </w:t>
      </w:r>
      <w:r w:rsidR="00222CCD" w:rsidRPr="00CD6D0B">
        <w:rPr>
          <w:rFonts w:ascii="Times New Roman" w:hAnsi="Times New Roman"/>
          <w:noProof/>
          <w:sz w:val="24"/>
          <w:lang w:val="en-GB"/>
        </w:rPr>
        <w:t>row is</w:t>
      </w:r>
      <w:r w:rsidRPr="00CD6D0B">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268"/>
        <w:gridCol w:w="4853"/>
      </w:tblGrid>
      <w:tr w:rsidR="008E2278" w:rsidRPr="008E2278" w:rsidTr="0022365E">
        <w:tc>
          <w:tcPr>
            <w:tcW w:w="1526" w:type="dxa"/>
            <w:tcBorders>
              <w:right w:val="single" w:sz="4" w:space="0" w:color="000000"/>
            </w:tcBorders>
          </w:tcPr>
          <w:p w:rsidR="0088591E" w:rsidRPr="008E2278" w:rsidRDefault="0088591E" w:rsidP="00415398">
            <w:pPr>
              <w:rPr>
                <w:sz w:val="20"/>
                <w:szCs w:val="20"/>
                <w:lang w:val="en-US"/>
              </w:rPr>
            </w:pPr>
            <w:r w:rsidRPr="008E2278">
              <w:rPr>
                <w:sz w:val="20"/>
                <w:szCs w:val="20"/>
                <w:lang w:val="en-US"/>
              </w:rPr>
              <w:t>C0080 to C0140/R0410</w:t>
            </w:r>
          </w:p>
        </w:tc>
        <w:tc>
          <w:tcPr>
            <w:tcW w:w="2268" w:type="dxa"/>
            <w:tcBorders>
              <w:left w:val="single" w:sz="4" w:space="0" w:color="000000"/>
              <w:right w:val="single" w:sz="4" w:space="0" w:color="000000"/>
            </w:tcBorders>
          </w:tcPr>
          <w:p w:rsidR="0088591E" w:rsidRPr="008E2278" w:rsidRDefault="0088591E" w:rsidP="00415398">
            <w:pPr>
              <w:rPr>
                <w:sz w:val="20"/>
                <w:szCs w:val="20"/>
                <w:lang w:val="en-US"/>
              </w:rPr>
            </w:pPr>
            <w:r w:rsidRPr="008E2278">
              <w:rPr>
                <w:sz w:val="20"/>
                <w:szCs w:val="20"/>
                <w:lang w:val="en-US"/>
              </w:rPr>
              <w:t xml:space="preserve">Changes in other technical provisions – Gross - Direct business </w:t>
            </w:r>
          </w:p>
        </w:tc>
        <w:tc>
          <w:tcPr>
            <w:tcW w:w="4853" w:type="dxa"/>
            <w:tcBorders>
              <w:left w:val="single" w:sz="4" w:space="0" w:color="000000"/>
              <w:right w:val="single" w:sz="4" w:space="0" w:color="000000"/>
            </w:tcBorders>
          </w:tcPr>
          <w:p w:rsidR="0088591E" w:rsidRPr="008E2278" w:rsidRDefault="0088591E" w:rsidP="00415398">
            <w:pPr>
              <w:jc w:val="both"/>
              <w:rPr>
                <w:sz w:val="20"/>
                <w:szCs w:val="20"/>
                <w:lang w:val="en-US"/>
              </w:rPr>
            </w:pPr>
            <w:r w:rsidRPr="008E2278">
              <w:rPr>
                <w:sz w:val="20"/>
                <w:szCs w:val="20"/>
                <w:lang w:val="en-US"/>
              </w:rPr>
              <w:t>Changes in other technical provisions as defined in directive 91/674/EEC where applicable: it is the changes in other technical provisions for the gross direct business.</w:t>
            </w:r>
          </w:p>
          <w:p w:rsidR="0088591E" w:rsidRPr="008E2278" w:rsidRDefault="00FE6D32">
            <w:pPr>
              <w:jc w:val="both"/>
              <w:rPr>
                <w:sz w:val="20"/>
                <w:szCs w:val="20"/>
                <w:lang w:val="en-US"/>
              </w:rPr>
            </w:pPr>
            <w:r w:rsidRPr="008E2278">
              <w:rPr>
                <w:sz w:val="20"/>
                <w:szCs w:val="20"/>
                <w:lang w:val="en-US"/>
              </w:rPr>
              <w:t xml:space="preserve">This item </w:t>
            </w:r>
            <w:r w:rsidR="009A32AF">
              <w:rPr>
                <w:sz w:val="20"/>
                <w:szCs w:val="20"/>
                <w:lang w:val="en-US"/>
              </w:rPr>
              <w:t>shall</w:t>
            </w:r>
            <w:r w:rsidR="009A32AF" w:rsidRPr="008E2278">
              <w:rPr>
                <w:sz w:val="20"/>
                <w:szCs w:val="20"/>
                <w:lang w:val="en-US"/>
              </w:rPr>
              <w:t xml:space="preserve"> </w:t>
            </w:r>
            <w:r w:rsidRPr="008E2278">
              <w:rPr>
                <w:sz w:val="20"/>
                <w:szCs w:val="20"/>
                <w:lang w:val="en-US"/>
              </w:rPr>
              <w:t>be reported as a positive amount if the variation is negative (reduction of other technical provisions leading to a profit) or as a negative amount if variation is positive (increase of other technical provisions leading to a loss).</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321282" w:rsidRPr="008E2278" w:rsidRDefault="00321282"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S.05.0</w:t>
      </w:r>
      <w:r w:rsidR="001638B3" w:rsidRPr="008E2278">
        <w:rPr>
          <w:rFonts w:ascii="Times New Roman" w:hAnsi="Times New Roman"/>
          <w:noProof/>
          <w:sz w:val="24"/>
          <w:lang w:val="en-GB"/>
        </w:rPr>
        <w:t>2</w:t>
      </w:r>
      <w:r w:rsidRPr="008E2278">
        <w:rPr>
          <w:rFonts w:ascii="Times New Roman" w:hAnsi="Times New Roman"/>
          <w:noProof/>
          <w:sz w:val="24"/>
          <w:lang w:val="en-GB"/>
        </w:rPr>
        <w:t>.C0080 to C0140/R0420</w:t>
      </w:r>
      <w:r w:rsidRPr="00CD6D0B">
        <w:rPr>
          <w:rFonts w:ascii="Times New Roman" w:hAnsi="Times New Roman"/>
          <w:noProof/>
          <w:sz w:val="24"/>
          <w:lang w:val="en-GB"/>
        </w:rPr>
        <w:t xml:space="preserve"> </w:t>
      </w:r>
      <w:r w:rsidRPr="008E2278">
        <w:rPr>
          <w:rFonts w:ascii="Times New Roman" w:hAnsi="Times New Roman"/>
          <w:noProof/>
          <w:sz w:val="24"/>
          <w:lang w:val="en-GB"/>
        </w:rPr>
        <w:t xml:space="preserve">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268"/>
        <w:gridCol w:w="4853"/>
      </w:tblGrid>
      <w:tr w:rsidR="008E2278" w:rsidRPr="008E2278" w:rsidTr="0022365E">
        <w:tc>
          <w:tcPr>
            <w:tcW w:w="1526" w:type="dxa"/>
            <w:tcBorders>
              <w:bottom w:val="single" w:sz="4" w:space="0" w:color="000000"/>
              <w:right w:val="single" w:sz="4" w:space="0" w:color="000000"/>
            </w:tcBorders>
          </w:tcPr>
          <w:p w:rsidR="00321282" w:rsidRPr="008E2278" w:rsidRDefault="00321282" w:rsidP="00C539AD">
            <w:pPr>
              <w:rPr>
                <w:sz w:val="20"/>
                <w:szCs w:val="20"/>
                <w:lang w:val="en-US"/>
              </w:rPr>
            </w:pPr>
            <w:r w:rsidRPr="008E2278">
              <w:rPr>
                <w:sz w:val="20"/>
                <w:szCs w:val="20"/>
                <w:lang w:val="en-US"/>
              </w:rPr>
              <w:t>C0080 to C0140/R0420</w:t>
            </w:r>
          </w:p>
        </w:tc>
        <w:tc>
          <w:tcPr>
            <w:tcW w:w="2268" w:type="dxa"/>
            <w:tcBorders>
              <w:left w:val="single" w:sz="4" w:space="0" w:color="000000"/>
              <w:bottom w:val="single" w:sz="4" w:space="0" w:color="000000"/>
              <w:right w:val="single" w:sz="4" w:space="0" w:color="000000"/>
            </w:tcBorders>
          </w:tcPr>
          <w:p w:rsidR="00321282" w:rsidRPr="008E2278" w:rsidRDefault="00321282" w:rsidP="00C539AD">
            <w:pPr>
              <w:rPr>
                <w:sz w:val="20"/>
                <w:szCs w:val="20"/>
                <w:lang w:val="en-US"/>
              </w:rPr>
            </w:pPr>
            <w:r w:rsidRPr="008E2278">
              <w:rPr>
                <w:sz w:val="20"/>
                <w:szCs w:val="20"/>
                <w:lang w:val="en-US"/>
              </w:rPr>
              <w:t>Changes in other technical provisions – Gross – Proportional reinsurance accepted</w:t>
            </w:r>
          </w:p>
        </w:tc>
        <w:tc>
          <w:tcPr>
            <w:tcW w:w="4853" w:type="dxa"/>
            <w:tcBorders>
              <w:left w:val="single" w:sz="4" w:space="0" w:color="000000"/>
              <w:bottom w:val="single" w:sz="4" w:space="0" w:color="000000"/>
              <w:right w:val="single" w:sz="4" w:space="0" w:color="000000"/>
            </w:tcBorders>
          </w:tcPr>
          <w:p w:rsidR="00321282" w:rsidRPr="008E2278" w:rsidRDefault="00321282" w:rsidP="00C539AD">
            <w:pPr>
              <w:jc w:val="both"/>
              <w:rPr>
                <w:sz w:val="20"/>
                <w:szCs w:val="20"/>
                <w:lang w:val="en-US"/>
              </w:rPr>
            </w:pPr>
            <w:r w:rsidRPr="008E2278">
              <w:rPr>
                <w:sz w:val="20"/>
                <w:szCs w:val="20"/>
                <w:lang w:val="en-US"/>
              </w:rPr>
              <w:t>Changes in other technical provisions as defined in directive 91/674/EEC where applicable: it is the changes in other technical provisions for the gross proportional reinsurance accepted.</w:t>
            </w:r>
          </w:p>
          <w:p w:rsidR="00321282" w:rsidRPr="008E2278" w:rsidRDefault="00321282" w:rsidP="00C539AD">
            <w:pPr>
              <w:jc w:val="both"/>
              <w:rPr>
                <w:sz w:val="20"/>
                <w:szCs w:val="20"/>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(reduction of other technical provisions leading to a profit) or as a negative amount if variation is positive (increase of other technical provisions leading to a loss).</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321282" w:rsidRPr="008E2278" w:rsidRDefault="00321282"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S.05.0</w:t>
      </w:r>
      <w:r w:rsidR="001638B3" w:rsidRPr="008E2278">
        <w:rPr>
          <w:rFonts w:ascii="Times New Roman" w:hAnsi="Times New Roman"/>
          <w:noProof/>
          <w:sz w:val="24"/>
          <w:lang w:val="en-GB"/>
        </w:rPr>
        <w:t>2</w:t>
      </w:r>
      <w:r w:rsidRPr="008E2278">
        <w:rPr>
          <w:rFonts w:ascii="Times New Roman" w:hAnsi="Times New Roman"/>
          <w:noProof/>
          <w:sz w:val="24"/>
          <w:lang w:val="en-GB"/>
        </w:rPr>
        <w:t>.C0080 to C0140/R0430</w:t>
      </w:r>
      <w:r w:rsidRPr="00CD6D0B">
        <w:rPr>
          <w:rFonts w:ascii="Times New Roman" w:hAnsi="Times New Roman"/>
          <w:noProof/>
          <w:sz w:val="24"/>
          <w:lang w:val="en-GB"/>
        </w:rPr>
        <w:t xml:space="preserve"> </w:t>
      </w:r>
      <w:r w:rsidRPr="008E2278">
        <w:rPr>
          <w:rFonts w:ascii="Times New Roman" w:hAnsi="Times New Roman"/>
          <w:noProof/>
          <w:sz w:val="24"/>
          <w:lang w:val="en-GB"/>
        </w:rPr>
        <w:t xml:space="preserve">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268"/>
        <w:gridCol w:w="4853"/>
      </w:tblGrid>
      <w:tr w:rsidR="008E2278" w:rsidRPr="008E2278" w:rsidTr="0022365E">
        <w:tc>
          <w:tcPr>
            <w:tcW w:w="1526" w:type="dxa"/>
            <w:tcBorders>
              <w:right w:val="single" w:sz="4" w:space="0" w:color="000000"/>
            </w:tcBorders>
          </w:tcPr>
          <w:p w:rsidR="00321282" w:rsidRPr="008E2278" w:rsidRDefault="00321282" w:rsidP="00C539AD">
            <w:pPr>
              <w:rPr>
                <w:sz w:val="20"/>
                <w:szCs w:val="20"/>
                <w:lang w:val="en-US"/>
              </w:rPr>
            </w:pPr>
            <w:r w:rsidRPr="008E2278">
              <w:rPr>
                <w:sz w:val="20"/>
                <w:szCs w:val="20"/>
                <w:lang w:val="en-US"/>
              </w:rPr>
              <w:t>C0080 to C0140/R0430</w:t>
            </w:r>
          </w:p>
        </w:tc>
        <w:tc>
          <w:tcPr>
            <w:tcW w:w="2268" w:type="dxa"/>
            <w:tcBorders>
              <w:left w:val="single" w:sz="4" w:space="0" w:color="000000"/>
              <w:right w:val="single" w:sz="4" w:space="0" w:color="000000"/>
            </w:tcBorders>
          </w:tcPr>
          <w:p w:rsidR="00321282" w:rsidRPr="008E2278" w:rsidRDefault="00321282" w:rsidP="00C539AD">
            <w:pPr>
              <w:rPr>
                <w:sz w:val="20"/>
                <w:szCs w:val="20"/>
                <w:lang w:val="en-US"/>
              </w:rPr>
            </w:pPr>
            <w:r w:rsidRPr="008E2278">
              <w:rPr>
                <w:sz w:val="20"/>
                <w:szCs w:val="20"/>
                <w:lang w:val="en-US"/>
              </w:rPr>
              <w:t>Changes in other technical provisions - Gross - Non- proportional reinsurance accepted</w:t>
            </w:r>
          </w:p>
        </w:tc>
        <w:tc>
          <w:tcPr>
            <w:tcW w:w="4853" w:type="dxa"/>
            <w:tcBorders>
              <w:left w:val="single" w:sz="4" w:space="0" w:color="000000"/>
              <w:right w:val="single" w:sz="4" w:space="0" w:color="000000"/>
            </w:tcBorders>
          </w:tcPr>
          <w:p w:rsidR="00321282" w:rsidRPr="008E2278" w:rsidRDefault="00321282" w:rsidP="00C539AD">
            <w:pPr>
              <w:jc w:val="both"/>
              <w:rPr>
                <w:sz w:val="20"/>
                <w:szCs w:val="20"/>
                <w:lang w:val="en-US"/>
              </w:rPr>
            </w:pPr>
            <w:r w:rsidRPr="008E2278">
              <w:rPr>
                <w:sz w:val="20"/>
                <w:szCs w:val="20"/>
                <w:lang w:val="en-US"/>
              </w:rPr>
              <w:t>Changes in other technical provisions as defined in directive 91/674/EEC where applicable: it is the changes in other technical provisions for the gross non- proportional reinsurance accepted.</w:t>
            </w:r>
          </w:p>
          <w:p w:rsidR="00321282" w:rsidRPr="008E2278" w:rsidRDefault="00321282" w:rsidP="00C539AD">
            <w:pPr>
              <w:jc w:val="both"/>
              <w:rPr>
                <w:sz w:val="20"/>
                <w:szCs w:val="20"/>
                <w:highlight w:val="yellow"/>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(reduction of other technical provisions leading to a profit) or as a negative amount if variation is positive (increase of other technical provisions leading to a loss).</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321282" w:rsidRPr="008E2278" w:rsidRDefault="00321282"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S.05.0</w:t>
      </w:r>
      <w:r w:rsidR="001638B3" w:rsidRPr="008E2278">
        <w:rPr>
          <w:rFonts w:ascii="Times New Roman" w:hAnsi="Times New Roman"/>
          <w:noProof/>
          <w:sz w:val="24"/>
          <w:lang w:val="en-GB"/>
        </w:rPr>
        <w:t>2</w:t>
      </w:r>
      <w:r w:rsidRPr="008E2278">
        <w:rPr>
          <w:rFonts w:ascii="Times New Roman" w:hAnsi="Times New Roman"/>
          <w:noProof/>
          <w:sz w:val="24"/>
          <w:lang w:val="en-GB"/>
        </w:rPr>
        <w:t>.C0080 to C0140/R0440</w:t>
      </w:r>
      <w:r w:rsidRPr="00CD6D0B">
        <w:rPr>
          <w:rFonts w:ascii="Times New Roman" w:hAnsi="Times New Roman"/>
          <w:noProof/>
          <w:sz w:val="24"/>
          <w:lang w:val="en-GB"/>
        </w:rPr>
        <w:t xml:space="preserve"> </w:t>
      </w:r>
      <w:r w:rsidRPr="008E2278">
        <w:rPr>
          <w:rFonts w:ascii="Times New Roman" w:hAnsi="Times New Roman"/>
          <w:noProof/>
          <w:sz w:val="24"/>
          <w:lang w:val="en-GB"/>
        </w:rPr>
        <w:t xml:space="preserve">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268"/>
        <w:gridCol w:w="4853"/>
      </w:tblGrid>
      <w:tr w:rsidR="008E2278" w:rsidRPr="008E2278" w:rsidTr="0022365E">
        <w:tc>
          <w:tcPr>
            <w:tcW w:w="1526" w:type="dxa"/>
            <w:tcBorders>
              <w:right w:val="single" w:sz="4" w:space="0" w:color="000000"/>
            </w:tcBorders>
          </w:tcPr>
          <w:p w:rsidR="00321282" w:rsidRPr="008E2278" w:rsidRDefault="00321282" w:rsidP="00C539AD">
            <w:pPr>
              <w:rPr>
                <w:sz w:val="20"/>
                <w:szCs w:val="20"/>
                <w:lang w:val="en-US"/>
              </w:rPr>
            </w:pPr>
            <w:r w:rsidRPr="008E2278">
              <w:rPr>
                <w:sz w:val="20"/>
                <w:szCs w:val="20"/>
                <w:lang w:val="en-US"/>
              </w:rPr>
              <w:t>C0080 to C0140/R0440</w:t>
            </w:r>
          </w:p>
        </w:tc>
        <w:tc>
          <w:tcPr>
            <w:tcW w:w="2268" w:type="dxa"/>
            <w:tcBorders>
              <w:left w:val="single" w:sz="4" w:space="0" w:color="000000"/>
              <w:right w:val="single" w:sz="4" w:space="0" w:color="000000"/>
            </w:tcBorders>
          </w:tcPr>
          <w:p w:rsidR="00321282" w:rsidRPr="008E2278" w:rsidRDefault="00321282" w:rsidP="00C539AD">
            <w:pPr>
              <w:rPr>
                <w:sz w:val="20"/>
                <w:szCs w:val="20"/>
                <w:lang w:val="en-US"/>
              </w:rPr>
            </w:pPr>
            <w:r w:rsidRPr="008E2278">
              <w:rPr>
                <w:sz w:val="20"/>
                <w:szCs w:val="20"/>
                <w:lang w:val="en-US"/>
              </w:rPr>
              <w:t>Changes in other technical provisions - Reinsurers' share</w:t>
            </w:r>
          </w:p>
        </w:tc>
        <w:tc>
          <w:tcPr>
            <w:tcW w:w="4853" w:type="dxa"/>
            <w:tcBorders>
              <w:left w:val="single" w:sz="4" w:space="0" w:color="000000"/>
              <w:right w:val="single" w:sz="4" w:space="0" w:color="000000"/>
            </w:tcBorders>
          </w:tcPr>
          <w:p w:rsidR="00321282" w:rsidRPr="008E2278" w:rsidRDefault="00321282" w:rsidP="00C539AD">
            <w:pPr>
              <w:jc w:val="both"/>
              <w:rPr>
                <w:sz w:val="20"/>
                <w:szCs w:val="20"/>
                <w:lang w:val="en-US"/>
              </w:rPr>
            </w:pPr>
            <w:r w:rsidRPr="008E2278">
              <w:rPr>
                <w:sz w:val="20"/>
                <w:szCs w:val="20"/>
                <w:lang w:val="en-US"/>
              </w:rPr>
              <w:t>Changes in other technical provisions as defined in directive 91/674/EEC where applicable: it is the changes in other technical provisions related to the amounts ceded to reinsurers.</w:t>
            </w:r>
          </w:p>
          <w:p w:rsidR="00321282" w:rsidRPr="008E2278" w:rsidRDefault="00321282" w:rsidP="00805C7D">
            <w:pPr>
              <w:jc w:val="both"/>
              <w:rPr>
                <w:sz w:val="20"/>
                <w:szCs w:val="20"/>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or as a negative amount if variation is positive.</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321282" w:rsidRPr="008E2278" w:rsidRDefault="00321282"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7D4910">
        <w:rPr>
          <w:rFonts w:ascii="Times New Roman" w:hAnsi="Times New Roman"/>
          <w:noProof/>
          <w:sz w:val="24"/>
          <w:lang w:val="en-GB"/>
        </w:rPr>
        <w:t xml:space="preserve"> </w:t>
      </w:r>
      <w:r w:rsidRPr="008E2278">
        <w:rPr>
          <w:rFonts w:ascii="Times New Roman" w:hAnsi="Times New Roman"/>
          <w:noProof/>
          <w:sz w:val="24"/>
          <w:lang w:val="en-GB"/>
        </w:rPr>
        <w:t>S.05.0</w:t>
      </w:r>
      <w:r w:rsidR="001638B3" w:rsidRPr="008E2278">
        <w:rPr>
          <w:rFonts w:ascii="Times New Roman" w:hAnsi="Times New Roman"/>
          <w:noProof/>
          <w:sz w:val="24"/>
          <w:lang w:val="en-GB"/>
        </w:rPr>
        <w:t>2</w:t>
      </w:r>
      <w:r w:rsidRPr="008E2278">
        <w:rPr>
          <w:rFonts w:ascii="Times New Roman" w:hAnsi="Times New Roman"/>
          <w:noProof/>
          <w:sz w:val="24"/>
          <w:lang w:val="en-GB"/>
        </w:rPr>
        <w:t>.C0080 to C0140/R0500</w:t>
      </w:r>
      <w:r w:rsidRPr="00CD6D0B">
        <w:rPr>
          <w:rFonts w:ascii="Times New Roman" w:hAnsi="Times New Roman"/>
          <w:noProof/>
          <w:sz w:val="24"/>
          <w:lang w:val="en-GB"/>
        </w:rPr>
        <w:t xml:space="preserve"> </w:t>
      </w:r>
      <w:r w:rsidRPr="008E2278">
        <w:rPr>
          <w:rFonts w:ascii="Times New Roman" w:hAnsi="Times New Roman"/>
          <w:noProof/>
          <w:sz w:val="24"/>
          <w:lang w:val="en-GB"/>
        </w:rPr>
        <w:t xml:space="preserve">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268"/>
        <w:gridCol w:w="4853"/>
      </w:tblGrid>
      <w:tr w:rsidR="008E2278" w:rsidRPr="008E2278" w:rsidTr="0022365E">
        <w:tc>
          <w:tcPr>
            <w:tcW w:w="1526" w:type="dxa"/>
            <w:tcBorders>
              <w:right w:val="single" w:sz="4" w:space="0" w:color="000000"/>
            </w:tcBorders>
          </w:tcPr>
          <w:p w:rsidR="00321282" w:rsidRPr="008E2278" w:rsidRDefault="00321282" w:rsidP="00C539AD">
            <w:pPr>
              <w:rPr>
                <w:sz w:val="20"/>
                <w:szCs w:val="20"/>
                <w:lang w:val="en-US"/>
              </w:rPr>
            </w:pPr>
            <w:r w:rsidRPr="008E2278">
              <w:rPr>
                <w:sz w:val="20"/>
                <w:szCs w:val="20"/>
                <w:lang w:val="en-US"/>
              </w:rPr>
              <w:t>C0080 to C0140/R0500</w:t>
            </w:r>
          </w:p>
        </w:tc>
        <w:tc>
          <w:tcPr>
            <w:tcW w:w="2268" w:type="dxa"/>
            <w:tcBorders>
              <w:left w:val="single" w:sz="4" w:space="0" w:color="000000"/>
              <w:right w:val="single" w:sz="4" w:space="0" w:color="000000"/>
            </w:tcBorders>
          </w:tcPr>
          <w:p w:rsidR="00321282" w:rsidRPr="008E2278" w:rsidRDefault="00321282" w:rsidP="00C539AD">
            <w:pPr>
              <w:rPr>
                <w:sz w:val="20"/>
                <w:szCs w:val="20"/>
                <w:lang w:val="en-US"/>
              </w:rPr>
            </w:pPr>
            <w:r w:rsidRPr="008E2278">
              <w:rPr>
                <w:sz w:val="20"/>
                <w:szCs w:val="20"/>
                <w:lang w:val="en-US"/>
              </w:rPr>
              <w:t xml:space="preserve">Changes in other technical provisions </w:t>
            </w:r>
            <w:r w:rsidR="00F409D2">
              <w:rPr>
                <w:sz w:val="20"/>
                <w:szCs w:val="20"/>
                <w:lang w:val="en-US"/>
              </w:rPr>
              <w:t>–</w:t>
            </w:r>
            <w:r w:rsidRPr="008E2278">
              <w:rPr>
                <w:sz w:val="20"/>
                <w:szCs w:val="20"/>
                <w:lang w:val="en-US"/>
              </w:rPr>
              <w:t xml:space="preserve"> Net</w:t>
            </w:r>
          </w:p>
        </w:tc>
        <w:tc>
          <w:tcPr>
            <w:tcW w:w="4853" w:type="dxa"/>
            <w:tcBorders>
              <w:left w:val="single" w:sz="4" w:space="0" w:color="000000"/>
              <w:right w:val="single" w:sz="4" w:space="0" w:color="000000"/>
            </w:tcBorders>
          </w:tcPr>
          <w:p w:rsidR="00321282" w:rsidRPr="008E2278" w:rsidRDefault="00321282" w:rsidP="00C539AD">
            <w:pPr>
              <w:jc w:val="both"/>
              <w:rPr>
                <w:sz w:val="20"/>
                <w:szCs w:val="20"/>
                <w:lang w:val="en-US"/>
              </w:rPr>
            </w:pPr>
            <w:r w:rsidRPr="008E2278">
              <w:rPr>
                <w:sz w:val="20"/>
                <w:szCs w:val="20"/>
                <w:lang w:val="en-US"/>
              </w:rPr>
              <w:t xml:space="preserve">Changes in other technical provisions as defined in directive 91/674/EEC where applicable: the net </w:t>
            </w:r>
            <w:proofErr w:type="gramStart"/>
            <w:r w:rsidRPr="008E2278">
              <w:rPr>
                <w:sz w:val="20"/>
                <w:szCs w:val="20"/>
                <w:lang w:val="en-US"/>
              </w:rPr>
              <w:t>amount of changes in other technical provisions represent</w:t>
            </w:r>
            <w:proofErr w:type="gramEnd"/>
            <w:r w:rsidRPr="008E2278">
              <w:rPr>
                <w:sz w:val="20"/>
                <w:szCs w:val="20"/>
                <w:lang w:val="en-US"/>
              </w:rPr>
              <w:t xml:space="preserve"> the sum of the direct business and the accepted </w:t>
            </w:r>
            <w:r w:rsidR="00D24DAA" w:rsidRPr="008E2278">
              <w:rPr>
                <w:sz w:val="20"/>
                <w:szCs w:val="20"/>
                <w:lang w:val="en-US"/>
              </w:rPr>
              <w:t>re</w:t>
            </w:r>
            <w:r w:rsidRPr="008E2278">
              <w:rPr>
                <w:sz w:val="20"/>
                <w:szCs w:val="20"/>
                <w:lang w:val="en-US"/>
              </w:rPr>
              <w:t xml:space="preserve">insurance business reduced by the amount ceded to reinsurance undertakings. </w:t>
            </w:r>
          </w:p>
          <w:p w:rsidR="00321282" w:rsidRPr="008E2278" w:rsidRDefault="00321282" w:rsidP="00C539AD">
            <w:pPr>
              <w:jc w:val="both"/>
              <w:rPr>
                <w:sz w:val="20"/>
                <w:szCs w:val="20"/>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(reduction of other technical provisions leading to a profit) or as a negative amount if variation is positive (increase of other technical provisions leading to a loss).</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321282" w:rsidRPr="008E2278" w:rsidRDefault="001638B3"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S.05.02</w:t>
      </w:r>
      <w:r w:rsidR="00321282" w:rsidRPr="008E2278">
        <w:rPr>
          <w:rFonts w:ascii="Times New Roman" w:hAnsi="Times New Roman"/>
          <w:noProof/>
          <w:sz w:val="24"/>
          <w:lang w:val="en-GB"/>
        </w:rPr>
        <w:t>.</w:t>
      </w:r>
      <w:r w:rsidRPr="008E2278">
        <w:rPr>
          <w:rFonts w:ascii="Times New Roman" w:hAnsi="Times New Roman"/>
          <w:noProof/>
          <w:sz w:val="24"/>
          <w:lang w:val="en-GB"/>
        </w:rPr>
        <w:t xml:space="preserve">C0220 to C0280/R1710 </w:t>
      </w:r>
      <w:r w:rsidR="00321282" w:rsidRPr="008E2278">
        <w:rPr>
          <w:rFonts w:ascii="Times New Roman" w:hAnsi="Times New Roman"/>
          <w:noProof/>
          <w:sz w:val="24"/>
          <w:lang w:val="en-GB"/>
        </w:rPr>
        <w:t xml:space="preserve">the </w:t>
      </w:r>
      <w:r w:rsidR="00222CCD">
        <w:rPr>
          <w:rFonts w:ascii="Times New Roman" w:hAnsi="Times New Roman"/>
          <w:noProof/>
          <w:sz w:val="24"/>
          <w:lang w:val="en-GB"/>
        </w:rPr>
        <w:t>row</w:t>
      </w:r>
      <w:r w:rsidR="00222CCD" w:rsidRPr="008E2278">
        <w:rPr>
          <w:rFonts w:ascii="Times New Roman" w:hAnsi="Times New Roman"/>
          <w:noProof/>
          <w:sz w:val="24"/>
          <w:lang w:val="en-GB"/>
        </w:rPr>
        <w:t xml:space="preserve"> </w:t>
      </w:r>
      <w:r w:rsidR="00222CCD">
        <w:rPr>
          <w:rFonts w:ascii="Times New Roman" w:hAnsi="Times New Roman"/>
          <w:noProof/>
          <w:sz w:val="24"/>
          <w:lang w:val="en-GB"/>
        </w:rPr>
        <w:t>is</w:t>
      </w:r>
      <w:r w:rsidR="00321282"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268"/>
        <w:gridCol w:w="4853"/>
      </w:tblGrid>
      <w:tr w:rsidR="008E2278" w:rsidRPr="008E2278" w:rsidTr="0022365E">
        <w:tc>
          <w:tcPr>
            <w:tcW w:w="1526" w:type="dxa"/>
            <w:tcBorders>
              <w:right w:val="single" w:sz="4" w:space="0" w:color="000000"/>
            </w:tcBorders>
          </w:tcPr>
          <w:p w:rsidR="001638B3" w:rsidRPr="008E2278" w:rsidRDefault="001638B3" w:rsidP="00C539AD">
            <w:pPr>
              <w:rPr>
                <w:sz w:val="20"/>
                <w:szCs w:val="20"/>
                <w:lang w:val="en-US"/>
              </w:rPr>
            </w:pPr>
            <w:r w:rsidRPr="008E2278">
              <w:rPr>
                <w:sz w:val="20"/>
                <w:szCs w:val="20"/>
                <w:lang w:val="en-US"/>
              </w:rPr>
              <w:t>C0220 to C0280/R1710</w:t>
            </w:r>
          </w:p>
        </w:tc>
        <w:tc>
          <w:tcPr>
            <w:tcW w:w="2268" w:type="dxa"/>
            <w:tcBorders>
              <w:left w:val="single" w:sz="4" w:space="0" w:color="000000"/>
              <w:right w:val="single" w:sz="4" w:space="0" w:color="000000"/>
            </w:tcBorders>
          </w:tcPr>
          <w:p w:rsidR="001638B3" w:rsidRPr="008E2278" w:rsidRDefault="001638B3" w:rsidP="00C539AD">
            <w:pPr>
              <w:rPr>
                <w:sz w:val="20"/>
                <w:szCs w:val="20"/>
                <w:lang w:val="en-US"/>
              </w:rPr>
            </w:pPr>
            <w:r w:rsidRPr="008E2278">
              <w:rPr>
                <w:sz w:val="20"/>
                <w:szCs w:val="20"/>
                <w:lang w:val="en-US"/>
              </w:rPr>
              <w:t xml:space="preserve">Changes in other technical provisions – Gross </w:t>
            </w:r>
          </w:p>
          <w:p w:rsidR="001638B3" w:rsidRPr="008E2278" w:rsidRDefault="001638B3" w:rsidP="00C539AD">
            <w:pPr>
              <w:rPr>
                <w:sz w:val="20"/>
                <w:szCs w:val="20"/>
                <w:lang w:val="en-US"/>
              </w:rPr>
            </w:pPr>
          </w:p>
        </w:tc>
        <w:tc>
          <w:tcPr>
            <w:tcW w:w="4853" w:type="dxa"/>
            <w:tcBorders>
              <w:left w:val="single" w:sz="4" w:space="0" w:color="000000"/>
              <w:right w:val="single" w:sz="4" w:space="0" w:color="000000"/>
            </w:tcBorders>
          </w:tcPr>
          <w:p w:rsidR="001638B3" w:rsidRPr="008E2278" w:rsidRDefault="001638B3" w:rsidP="00C539AD">
            <w:pPr>
              <w:jc w:val="both"/>
              <w:rPr>
                <w:sz w:val="20"/>
                <w:szCs w:val="20"/>
                <w:lang w:val="en-US"/>
              </w:rPr>
            </w:pPr>
            <w:r w:rsidRPr="008E2278">
              <w:rPr>
                <w:sz w:val="20"/>
                <w:szCs w:val="20"/>
                <w:lang w:val="en-US"/>
              </w:rPr>
              <w:t>Definition of changes in other technical provisions provided in directive 91/674/EEC where applicable: it is the changes in other technical provisions relating to insurance contracts arising from the gross direct and reinsurance business.</w:t>
            </w:r>
          </w:p>
          <w:p w:rsidR="001638B3" w:rsidRPr="008E2278" w:rsidRDefault="001638B3" w:rsidP="00C539AD">
            <w:pPr>
              <w:jc w:val="both"/>
              <w:rPr>
                <w:sz w:val="20"/>
                <w:szCs w:val="20"/>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(reduction of other technical provisions leading to a profit) or as a negative amount if variation is positive (increase of other technical provisions leading to a loss).</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1638B3" w:rsidRPr="008E2278" w:rsidRDefault="001638B3"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S.05.02.C0220 to C0280/R1720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268"/>
        <w:gridCol w:w="4853"/>
      </w:tblGrid>
      <w:tr w:rsidR="008E2278" w:rsidRPr="008E2278" w:rsidTr="0022365E">
        <w:tc>
          <w:tcPr>
            <w:tcW w:w="1526" w:type="dxa"/>
            <w:tcBorders>
              <w:right w:val="single" w:sz="4" w:space="0" w:color="000000"/>
            </w:tcBorders>
          </w:tcPr>
          <w:p w:rsidR="001638B3" w:rsidRPr="008E2278" w:rsidRDefault="001638B3" w:rsidP="00C539AD">
            <w:pPr>
              <w:rPr>
                <w:sz w:val="20"/>
                <w:szCs w:val="20"/>
                <w:lang w:val="en-US"/>
              </w:rPr>
            </w:pPr>
            <w:r w:rsidRPr="008E2278">
              <w:rPr>
                <w:sz w:val="20"/>
                <w:szCs w:val="20"/>
                <w:lang w:val="en-US"/>
              </w:rPr>
              <w:t>C0220 to C0280/R1720</w:t>
            </w:r>
          </w:p>
        </w:tc>
        <w:tc>
          <w:tcPr>
            <w:tcW w:w="2268" w:type="dxa"/>
            <w:tcBorders>
              <w:left w:val="single" w:sz="4" w:space="0" w:color="000000"/>
              <w:right w:val="single" w:sz="4" w:space="0" w:color="000000"/>
            </w:tcBorders>
          </w:tcPr>
          <w:p w:rsidR="001638B3" w:rsidRPr="008E2278" w:rsidRDefault="001638B3" w:rsidP="00C539AD">
            <w:pPr>
              <w:rPr>
                <w:sz w:val="20"/>
                <w:szCs w:val="20"/>
                <w:lang w:val="en-US"/>
              </w:rPr>
            </w:pPr>
            <w:r w:rsidRPr="008E2278">
              <w:rPr>
                <w:sz w:val="20"/>
                <w:szCs w:val="20"/>
                <w:lang w:val="en-US"/>
              </w:rPr>
              <w:t>Change in other technical provisions - Reinsurers’ share</w:t>
            </w:r>
          </w:p>
        </w:tc>
        <w:tc>
          <w:tcPr>
            <w:tcW w:w="4853" w:type="dxa"/>
            <w:tcBorders>
              <w:left w:val="single" w:sz="4" w:space="0" w:color="000000"/>
              <w:right w:val="single" w:sz="4" w:space="0" w:color="000000"/>
            </w:tcBorders>
          </w:tcPr>
          <w:p w:rsidR="001638B3" w:rsidRPr="008E2278" w:rsidRDefault="001638B3" w:rsidP="00C539AD">
            <w:pPr>
              <w:jc w:val="both"/>
              <w:rPr>
                <w:sz w:val="20"/>
                <w:szCs w:val="20"/>
                <w:lang w:val="en-US"/>
              </w:rPr>
            </w:pPr>
            <w:r w:rsidRPr="008E2278">
              <w:rPr>
                <w:sz w:val="20"/>
                <w:szCs w:val="20"/>
                <w:lang w:val="en-US"/>
              </w:rPr>
              <w:t>Definition of changes in other technical provisions provided in directive 91/674/EEC where applicable: it is the reinsurers’ share in changes in other technical provisions.</w:t>
            </w:r>
          </w:p>
          <w:p w:rsidR="001638B3" w:rsidRPr="008E2278" w:rsidRDefault="001638B3" w:rsidP="00805C7D">
            <w:pPr>
              <w:jc w:val="both"/>
              <w:rPr>
                <w:sz w:val="20"/>
                <w:szCs w:val="20"/>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or as a negative amount if variation is positive.</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1638B3" w:rsidRPr="008E2278" w:rsidRDefault="001638B3"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S.05.02.C0220 to C0280/R1800 the </w:t>
      </w:r>
      <w:r w:rsidR="00222CCD">
        <w:rPr>
          <w:rFonts w:ascii="Times New Roman" w:hAnsi="Times New Roman"/>
          <w:noProof/>
          <w:sz w:val="24"/>
          <w:lang w:val="en-GB"/>
        </w:rPr>
        <w:t>row</w:t>
      </w:r>
      <w:r w:rsidR="0022365E">
        <w:rPr>
          <w:rFonts w:ascii="Times New Roman" w:hAnsi="Times New Roman"/>
          <w:noProof/>
          <w:sz w:val="24"/>
          <w:lang w:val="en-GB"/>
        </w:rPr>
        <w:t xml:space="preserve"> </w:t>
      </w:r>
      <w:r w:rsidR="00222CCD">
        <w:rPr>
          <w:rFonts w:ascii="Times New Roman" w:hAnsi="Times New Roman"/>
          <w:noProof/>
          <w:sz w:val="24"/>
          <w:lang w:val="en-GB"/>
        </w:rPr>
        <w:t>is</w:t>
      </w:r>
      <w:r w:rsidRPr="008E2278">
        <w:rPr>
          <w:rFonts w:ascii="Times New Roman" w:hAnsi="Times New Roman"/>
          <w:noProof/>
          <w:sz w:val="24"/>
          <w:lang w:val="en-GB"/>
        </w:rPr>
        <w:t xml:space="preserve"> replaced by the following:</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268"/>
        <w:gridCol w:w="4853"/>
      </w:tblGrid>
      <w:tr w:rsidR="008E2278" w:rsidRPr="008E2278" w:rsidTr="0022365E">
        <w:tc>
          <w:tcPr>
            <w:tcW w:w="1526" w:type="dxa"/>
            <w:tcBorders>
              <w:right w:val="single" w:sz="4" w:space="0" w:color="000000"/>
            </w:tcBorders>
          </w:tcPr>
          <w:p w:rsidR="001638B3" w:rsidRPr="008E2278" w:rsidRDefault="001638B3" w:rsidP="00C539AD">
            <w:pPr>
              <w:rPr>
                <w:sz w:val="20"/>
                <w:szCs w:val="20"/>
                <w:lang w:val="en-US"/>
              </w:rPr>
            </w:pPr>
            <w:r w:rsidRPr="008E2278">
              <w:rPr>
                <w:sz w:val="20"/>
                <w:szCs w:val="20"/>
                <w:lang w:val="en-US"/>
              </w:rPr>
              <w:t>C0220 to C0280/R1800</w:t>
            </w:r>
          </w:p>
        </w:tc>
        <w:tc>
          <w:tcPr>
            <w:tcW w:w="2268" w:type="dxa"/>
            <w:tcBorders>
              <w:left w:val="single" w:sz="4" w:space="0" w:color="000000"/>
              <w:right w:val="single" w:sz="4" w:space="0" w:color="000000"/>
            </w:tcBorders>
          </w:tcPr>
          <w:p w:rsidR="001638B3" w:rsidRPr="008E2278" w:rsidRDefault="001638B3" w:rsidP="00C539AD">
            <w:pPr>
              <w:rPr>
                <w:sz w:val="20"/>
                <w:szCs w:val="20"/>
                <w:lang w:val="en-US"/>
              </w:rPr>
            </w:pPr>
            <w:r w:rsidRPr="008E2278">
              <w:rPr>
                <w:sz w:val="20"/>
                <w:szCs w:val="20"/>
                <w:lang w:val="en-US"/>
              </w:rPr>
              <w:t xml:space="preserve">Change in other technical provisions </w:t>
            </w:r>
            <w:r w:rsidR="00F409D2">
              <w:rPr>
                <w:sz w:val="20"/>
                <w:szCs w:val="20"/>
                <w:lang w:val="en-US"/>
              </w:rPr>
              <w:t>–</w:t>
            </w:r>
            <w:r w:rsidRPr="008E2278">
              <w:rPr>
                <w:sz w:val="20"/>
                <w:szCs w:val="20"/>
                <w:lang w:val="en-US"/>
              </w:rPr>
              <w:t xml:space="preserve"> Net</w:t>
            </w:r>
          </w:p>
        </w:tc>
        <w:tc>
          <w:tcPr>
            <w:tcW w:w="4853" w:type="dxa"/>
            <w:tcBorders>
              <w:left w:val="single" w:sz="4" w:space="0" w:color="000000"/>
              <w:right w:val="single" w:sz="4" w:space="0" w:color="000000"/>
            </w:tcBorders>
          </w:tcPr>
          <w:p w:rsidR="001638B3" w:rsidRPr="008E2278" w:rsidRDefault="001638B3" w:rsidP="00C539AD">
            <w:pPr>
              <w:jc w:val="both"/>
              <w:rPr>
                <w:sz w:val="20"/>
                <w:szCs w:val="20"/>
                <w:lang w:val="en-US"/>
              </w:rPr>
            </w:pPr>
            <w:r w:rsidRPr="008E2278">
              <w:rPr>
                <w:sz w:val="20"/>
                <w:szCs w:val="20"/>
                <w:lang w:val="en-US"/>
              </w:rPr>
              <w:t xml:space="preserve">Definition of changes in other technical provisions provided in directive 91/674/EEC where applicable: it is the changes in other technical provisions related to the sum of the direct business and the accepted </w:t>
            </w:r>
            <w:r w:rsidR="00AE2F59" w:rsidRPr="008E2278">
              <w:rPr>
                <w:sz w:val="20"/>
                <w:szCs w:val="20"/>
                <w:lang w:val="en-US"/>
              </w:rPr>
              <w:t>re</w:t>
            </w:r>
            <w:r w:rsidRPr="008E2278">
              <w:rPr>
                <w:sz w:val="20"/>
                <w:szCs w:val="20"/>
                <w:lang w:val="en-US"/>
              </w:rPr>
              <w:t xml:space="preserve">insurance business reduced by the amount ceded to reinsurance undertakings. </w:t>
            </w:r>
          </w:p>
          <w:p w:rsidR="001638B3" w:rsidRPr="008E2278" w:rsidRDefault="001638B3" w:rsidP="00C539AD">
            <w:pPr>
              <w:jc w:val="both"/>
              <w:rPr>
                <w:sz w:val="20"/>
                <w:szCs w:val="20"/>
                <w:lang w:val="en-US"/>
              </w:rPr>
            </w:pPr>
            <w:r w:rsidRPr="008E2278">
              <w:rPr>
                <w:sz w:val="20"/>
                <w:szCs w:val="20"/>
                <w:lang w:val="en-US"/>
              </w:rPr>
              <w:t xml:space="preserve">This item </w:t>
            </w:r>
            <w:r w:rsidR="009A32AF">
              <w:rPr>
                <w:sz w:val="20"/>
                <w:szCs w:val="20"/>
                <w:lang w:val="en-US"/>
              </w:rPr>
              <w:t>shall</w:t>
            </w:r>
            <w:r w:rsidRPr="008E2278">
              <w:rPr>
                <w:sz w:val="20"/>
                <w:szCs w:val="20"/>
                <w:lang w:val="en-US"/>
              </w:rPr>
              <w:t xml:space="preserve"> be reported as a positive amount if the variation is negative (reduction of other technical provisions leading to a profit) or as a negative amount if variation is positive (increase of other technical provisions leading to a loss).</w:t>
            </w:r>
          </w:p>
        </w:tc>
      </w:tr>
    </w:tbl>
    <w:p w:rsidR="001F33C1" w:rsidRPr="006F600D" w:rsidRDefault="001F33C1" w:rsidP="006F600D">
      <w:pPr>
        <w:pStyle w:val="ListParagraph"/>
        <w:rPr>
          <w:rFonts w:ascii="Times New Roman" w:hAnsi="Times New Roman"/>
          <w:noProof/>
          <w:color w:val="000000"/>
          <w:sz w:val="24"/>
          <w:lang w:val="en-GB"/>
        </w:rPr>
      </w:pPr>
      <w:r>
        <w:rPr>
          <w:rFonts w:ascii="Times New Roman" w:hAnsi="Times New Roman"/>
          <w:noProof/>
          <w:color w:val="000000"/>
          <w:sz w:val="24"/>
          <w:lang w:val="en-GB"/>
        </w:rPr>
        <w:t>;</w:t>
      </w:r>
    </w:p>
    <w:p w:rsidR="002F48DE" w:rsidRPr="00CD6D0B"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S.22.01.C0010/R0010 the </w:t>
      </w:r>
      <w:r w:rsidR="00222CCD">
        <w:rPr>
          <w:rFonts w:ascii="Times New Roman" w:hAnsi="Times New Roman"/>
          <w:noProof/>
          <w:sz w:val="24"/>
          <w:lang w:val="en-GB"/>
        </w:rPr>
        <w:t>row</w:t>
      </w:r>
      <w:r w:rsidR="00222CCD" w:rsidRPr="008E2278">
        <w:rPr>
          <w:rFonts w:ascii="Times New Roman" w:hAnsi="Times New Roman"/>
          <w:noProof/>
          <w:sz w:val="24"/>
          <w:lang w:val="en-GB"/>
        </w:rPr>
        <w:t xml:space="preserve"> </w:t>
      </w:r>
      <w:r w:rsidR="00222CCD">
        <w:rPr>
          <w:rFonts w:ascii="Times New Roman" w:hAnsi="Times New Roman"/>
          <w:noProof/>
          <w:sz w:val="24"/>
          <w:lang w:val="en-GB"/>
        </w:rPr>
        <w:t>is</w:t>
      </w:r>
      <w:r w:rsidRPr="008E2278">
        <w:rPr>
          <w:rFonts w:ascii="Times New Roman" w:hAnsi="Times New Roman"/>
          <w:noProof/>
          <w:sz w:val="24"/>
          <w:lang w:val="en-GB"/>
        </w:rPr>
        <w:t xml:space="preserve"> replaced </w:t>
      </w:r>
      <w:r w:rsidRPr="00CD6D0B">
        <w:rPr>
          <w:rFonts w:ascii="Times New Roman" w:hAnsi="Times New Roman"/>
          <w:noProof/>
          <w:sz w:val="24"/>
          <w:lang w:val="en-GB"/>
        </w:rPr>
        <w:t>by the following:</w:t>
      </w:r>
    </w:p>
    <w:tbl>
      <w:tblPr>
        <w:tblStyle w:val="TableGrid"/>
        <w:tblW w:w="8647" w:type="dxa"/>
        <w:tblInd w:w="817" w:type="dxa"/>
        <w:tblLayout w:type="fixed"/>
        <w:tblLook w:val="04A0" w:firstRow="1" w:lastRow="0" w:firstColumn="1" w:lastColumn="0" w:noHBand="0" w:noVBand="1"/>
      </w:tblPr>
      <w:tblGrid>
        <w:gridCol w:w="1526"/>
        <w:gridCol w:w="2268"/>
        <w:gridCol w:w="4853"/>
      </w:tblGrid>
      <w:tr w:rsidR="008E2278" w:rsidRPr="008E2278" w:rsidTr="0022365E">
        <w:tc>
          <w:tcPr>
            <w:tcW w:w="1526" w:type="dxa"/>
          </w:tcPr>
          <w:p w:rsidR="002F48DE" w:rsidRPr="008E2278" w:rsidRDefault="002F48DE" w:rsidP="00E6045B">
            <w:pPr>
              <w:rPr>
                <w:sz w:val="20"/>
                <w:szCs w:val="20"/>
              </w:rPr>
            </w:pPr>
            <w:r w:rsidRPr="008E2278">
              <w:rPr>
                <w:sz w:val="20"/>
                <w:szCs w:val="20"/>
              </w:rPr>
              <w:t>C0010/R0010</w:t>
            </w:r>
          </w:p>
        </w:tc>
        <w:tc>
          <w:tcPr>
            <w:tcW w:w="2268" w:type="dxa"/>
          </w:tcPr>
          <w:p w:rsidR="002F48DE" w:rsidRPr="008E2278" w:rsidRDefault="002F48DE" w:rsidP="00E6045B">
            <w:pPr>
              <w:rPr>
                <w:sz w:val="20"/>
                <w:szCs w:val="20"/>
              </w:rPr>
            </w:pPr>
            <w:r w:rsidRPr="008E2278">
              <w:rPr>
                <w:sz w:val="20"/>
                <w:szCs w:val="20"/>
              </w:rPr>
              <w:t xml:space="preserve">Amount with LTG measures and </w:t>
            </w:r>
            <w:proofErr w:type="spellStart"/>
            <w:r w:rsidRPr="008E2278">
              <w:rPr>
                <w:sz w:val="20"/>
                <w:szCs w:val="20"/>
              </w:rPr>
              <w:t>transitionals</w:t>
            </w:r>
            <w:proofErr w:type="spellEnd"/>
            <w:r w:rsidRPr="008E2278">
              <w:rPr>
                <w:sz w:val="20"/>
                <w:szCs w:val="20"/>
              </w:rPr>
              <w:t xml:space="preserve"> – Technical Provisions</w:t>
            </w:r>
          </w:p>
        </w:tc>
        <w:tc>
          <w:tcPr>
            <w:tcW w:w="4853" w:type="dxa"/>
          </w:tcPr>
          <w:p w:rsidR="002F48DE" w:rsidRPr="008E2278" w:rsidRDefault="002F48DE" w:rsidP="00E6045B">
            <w:pPr>
              <w:rPr>
                <w:sz w:val="20"/>
                <w:szCs w:val="20"/>
              </w:rPr>
            </w:pPr>
            <w:r w:rsidRPr="008E2278">
              <w:rPr>
                <w:sz w:val="20"/>
                <w:szCs w:val="20"/>
              </w:rPr>
              <w:t>Total amount of gross technical provisions including long term guarantee measures and transitional measures</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S.22.01.C0030/R0010 the </w:t>
      </w:r>
      <w:r w:rsidR="00222CCD">
        <w:rPr>
          <w:rFonts w:ascii="Times New Roman" w:hAnsi="Times New Roman"/>
          <w:noProof/>
          <w:sz w:val="24"/>
          <w:lang w:val="en-GB"/>
        </w:rPr>
        <w:t>row</w:t>
      </w:r>
      <w:r w:rsidR="00222CCD" w:rsidRPr="008E2278">
        <w:rPr>
          <w:rFonts w:ascii="Times New Roman" w:hAnsi="Times New Roman"/>
          <w:noProof/>
          <w:sz w:val="24"/>
          <w:lang w:val="en-GB"/>
        </w:rPr>
        <w:t xml:space="preserve"> </w:t>
      </w:r>
      <w:r w:rsidR="00222CCD">
        <w:rPr>
          <w:rFonts w:ascii="Times New Roman" w:hAnsi="Times New Roman"/>
          <w:noProof/>
          <w:sz w:val="24"/>
          <w:lang w:val="en-GB"/>
        </w:rPr>
        <w:t>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1526"/>
        <w:gridCol w:w="2268"/>
        <w:gridCol w:w="4853"/>
      </w:tblGrid>
      <w:tr w:rsidR="008E2278" w:rsidRPr="008E2278" w:rsidTr="0022365E">
        <w:tc>
          <w:tcPr>
            <w:tcW w:w="1526" w:type="dxa"/>
          </w:tcPr>
          <w:p w:rsidR="002F48DE" w:rsidRPr="008E2278" w:rsidRDefault="002F48DE" w:rsidP="00E6045B">
            <w:pPr>
              <w:rPr>
                <w:sz w:val="20"/>
                <w:szCs w:val="20"/>
              </w:rPr>
            </w:pPr>
            <w:r w:rsidRPr="008E2278">
              <w:rPr>
                <w:sz w:val="20"/>
                <w:szCs w:val="20"/>
              </w:rPr>
              <w:t>C0030/</w:t>
            </w:r>
          </w:p>
          <w:p w:rsidR="002F48DE" w:rsidRPr="008E2278" w:rsidRDefault="002F48DE" w:rsidP="00E6045B">
            <w:pPr>
              <w:rPr>
                <w:sz w:val="20"/>
                <w:szCs w:val="20"/>
              </w:rPr>
            </w:pPr>
            <w:r w:rsidRPr="008E2278">
              <w:rPr>
                <w:sz w:val="20"/>
                <w:szCs w:val="20"/>
              </w:rPr>
              <w:t>R0010</w:t>
            </w:r>
          </w:p>
        </w:tc>
        <w:tc>
          <w:tcPr>
            <w:tcW w:w="2268" w:type="dxa"/>
          </w:tcPr>
          <w:p w:rsidR="002F48DE" w:rsidRPr="008E2278" w:rsidRDefault="002F48DE" w:rsidP="00E6045B">
            <w:pPr>
              <w:rPr>
                <w:sz w:val="20"/>
                <w:szCs w:val="20"/>
              </w:rPr>
            </w:pPr>
            <w:r w:rsidRPr="008E2278">
              <w:rPr>
                <w:sz w:val="20"/>
                <w:szCs w:val="20"/>
              </w:rPr>
              <w:t>Impact of transitional on technical provisions – Technical provisions</w:t>
            </w:r>
          </w:p>
        </w:tc>
        <w:tc>
          <w:tcPr>
            <w:tcW w:w="4853" w:type="dxa"/>
          </w:tcPr>
          <w:p w:rsidR="002F48DE" w:rsidRPr="008E2278" w:rsidRDefault="002F48DE" w:rsidP="00E6045B">
            <w:pPr>
              <w:rPr>
                <w:sz w:val="20"/>
                <w:szCs w:val="20"/>
              </w:rPr>
            </w:pPr>
            <w:proofErr w:type="gramStart"/>
            <w:r w:rsidRPr="008E2278">
              <w:rPr>
                <w:sz w:val="20"/>
                <w:szCs w:val="20"/>
              </w:rPr>
              <w:t>Amount of the adjustment to the gross technical provisions due to the application of the transitional on technical provisions.</w:t>
            </w:r>
            <w:proofErr w:type="gramEnd"/>
          </w:p>
          <w:p w:rsidR="002F48DE" w:rsidRPr="008E2278" w:rsidRDefault="002F48DE" w:rsidP="00E6045B">
            <w:pPr>
              <w:rPr>
                <w:sz w:val="20"/>
                <w:szCs w:val="20"/>
              </w:rPr>
            </w:pPr>
          </w:p>
          <w:p w:rsidR="002F48DE" w:rsidRPr="008E2278" w:rsidRDefault="002F48DE" w:rsidP="00E6045B">
            <w:pPr>
              <w:rPr>
                <w:sz w:val="20"/>
                <w:szCs w:val="20"/>
              </w:rPr>
            </w:pPr>
            <w:r w:rsidRPr="008E2278">
              <w:rPr>
                <w:sz w:val="20"/>
                <w:szCs w:val="20"/>
              </w:rPr>
              <w:t xml:space="preserve">It shall be the difference between the technical provisions without transitional </w:t>
            </w:r>
            <w:r w:rsidR="0084229F" w:rsidRPr="008E2278">
              <w:rPr>
                <w:sz w:val="20"/>
                <w:szCs w:val="20"/>
              </w:rPr>
              <w:t xml:space="preserve">deduction </w:t>
            </w:r>
            <w:r w:rsidRPr="008E2278">
              <w:rPr>
                <w:sz w:val="20"/>
                <w:szCs w:val="20"/>
              </w:rPr>
              <w:t>on technical provisions and the technical provisions with LTG and transitional measures.</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S.22.01.C0050/R0010 the </w:t>
      </w:r>
      <w:r w:rsidR="00222CCD">
        <w:rPr>
          <w:rFonts w:ascii="Times New Roman" w:hAnsi="Times New Roman"/>
          <w:noProof/>
          <w:sz w:val="24"/>
          <w:lang w:val="en-GB"/>
        </w:rPr>
        <w:t>row</w:t>
      </w:r>
      <w:r w:rsidR="00222CCD" w:rsidRPr="008E2278">
        <w:rPr>
          <w:rFonts w:ascii="Times New Roman" w:hAnsi="Times New Roman"/>
          <w:noProof/>
          <w:sz w:val="24"/>
          <w:lang w:val="en-GB"/>
        </w:rPr>
        <w:t xml:space="preserve"> </w:t>
      </w:r>
      <w:r w:rsidR="00222CCD">
        <w:rPr>
          <w:rFonts w:ascii="Times New Roman" w:hAnsi="Times New Roman"/>
          <w:noProof/>
          <w:sz w:val="24"/>
          <w:lang w:val="en-GB"/>
        </w:rPr>
        <w:t>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lang w:val="en-US"/>
              </w:rPr>
            </w:pPr>
            <w:r w:rsidRPr="008E2278">
              <w:rPr>
                <w:sz w:val="20"/>
                <w:szCs w:val="20"/>
                <w:lang w:val="en-US"/>
              </w:rPr>
              <w:t>C0050/</w:t>
            </w:r>
          </w:p>
          <w:p w:rsidR="002F48DE" w:rsidRPr="008E2278" w:rsidRDefault="002F48DE" w:rsidP="00E6045B">
            <w:pPr>
              <w:rPr>
                <w:sz w:val="20"/>
                <w:szCs w:val="20"/>
                <w:lang w:val="en-US"/>
              </w:rPr>
            </w:pPr>
            <w:r w:rsidRPr="008E2278">
              <w:rPr>
                <w:sz w:val="20"/>
                <w:szCs w:val="20"/>
                <w:lang w:val="en-US"/>
              </w:rPr>
              <w:t>R0010</w:t>
            </w:r>
          </w:p>
        </w:tc>
        <w:tc>
          <w:tcPr>
            <w:tcW w:w="2785" w:type="dxa"/>
          </w:tcPr>
          <w:p w:rsidR="002F48DE" w:rsidRPr="008E2278" w:rsidRDefault="002F48DE" w:rsidP="00E6045B">
            <w:pPr>
              <w:rPr>
                <w:sz w:val="20"/>
                <w:szCs w:val="20"/>
              </w:rPr>
            </w:pPr>
            <w:r w:rsidRPr="008E2278">
              <w:rPr>
                <w:sz w:val="20"/>
                <w:szCs w:val="20"/>
              </w:rPr>
              <w:t>Impact of transitional on interest rate – Technical provisions</w:t>
            </w:r>
          </w:p>
        </w:tc>
        <w:tc>
          <w:tcPr>
            <w:tcW w:w="4995" w:type="dxa"/>
          </w:tcPr>
          <w:p w:rsidR="002F48DE" w:rsidRPr="008E2278" w:rsidRDefault="002F48DE" w:rsidP="00E6045B">
            <w:pPr>
              <w:rPr>
                <w:sz w:val="20"/>
                <w:szCs w:val="20"/>
              </w:rPr>
            </w:pPr>
            <w:proofErr w:type="gramStart"/>
            <w:r w:rsidRPr="008E2278">
              <w:rPr>
                <w:sz w:val="20"/>
                <w:szCs w:val="20"/>
              </w:rPr>
              <w:t xml:space="preserve">Amount of the adjustment to the gross technical provisions due to the application of the transitional </w:t>
            </w:r>
            <w:r w:rsidR="0084229F" w:rsidRPr="008E2278">
              <w:rPr>
                <w:sz w:val="20"/>
                <w:szCs w:val="20"/>
              </w:rPr>
              <w:t>adjustment to the relevant risk-free interest rate term structure</w:t>
            </w:r>
            <w:r w:rsidRPr="008E2278">
              <w:rPr>
                <w:sz w:val="20"/>
                <w:szCs w:val="20"/>
              </w:rPr>
              <w:t>.</w:t>
            </w:r>
            <w:proofErr w:type="gramEnd"/>
          </w:p>
          <w:p w:rsidR="002F48DE" w:rsidRPr="008E2278" w:rsidRDefault="002F48DE" w:rsidP="00E6045B">
            <w:pPr>
              <w:rPr>
                <w:sz w:val="20"/>
                <w:szCs w:val="20"/>
              </w:rPr>
            </w:pPr>
          </w:p>
          <w:p w:rsidR="002F48DE" w:rsidRPr="008E2278" w:rsidRDefault="002F48DE" w:rsidP="0046473D">
            <w:pPr>
              <w:rPr>
                <w:sz w:val="20"/>
                <w:szCs w:val="20"/>
              </w:rPr>
            </w:pPr>
            <w:r w:rsidRPr="008E2278">
              <w:rPr>
                <w:sz w:val="20"/>
                <w:szCs w:val="20"/>
              </w:rPr>
              <w:t>It shall be the difference between the technical provisions without transitional</w:t>
            </w:r>
            <w:r w:rsidR="0084229F" w:rsidRPr="008E2278">
              <w:rPr>
                <w:sz w:val="20"/>
                <w:szCs w:val="20"/>
              </w:rPr>
              <w:t xml:space="preserve"> adjustment to the relevant risk-free</w:t>
            </w:r>
            <w:r w:rsidRPr="008E2278">
              <w:rPr>
                <w:sz w:val="20"/>
                <w:szCs w:val="20"/>
              </w:rPr>
              <w:t xml:space="preserve"> interest rate </w:t>
            </w:r>
            <w:r w:rsidR="0084229F" w:rsidRPr="008E2278">
              <w:rPr>
                <w:sz w:val="20"/>
                <w:szCs w:val="20"/>
              </w:rPr>
              <w:t xml:space="preserve">term structure </w:t>
            </w:r>
            <w:r w:rsidRPr="008E2278">
              <w:rPr>
                <w:sz w:val="20"/>
                <w:szCs w:val="20"/>
              </w:rPr>
              <w:t xml:space="preserve">and the technical provisions </w:t>
            </w:r>
            <w:r w:rsidR="0046473D" w:rsidRPr="008E2278">
              <w:rPr>
                <w:sz w:val="20"/>
                <w:szCs w:val="20"/>
              </w:rPr>
              <w:t>without transitional on technical provisions</w:t>
            </w:r>
            <w:r w:rsidRPr="008E2278">
              <w:rPr>
                <w:sz w:val="20"/>
                <w:szCs w:val="20"/>
              </w:rPr>
              <w:t>.</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S.22.01.C0070/R0010 the </w:t>
      </w:r>
      <w:r w:rsidR="00222CCD">
        <w:rPr>
          <w:rFonts w:ascii="Times New Roman" w:hAnsi="Times New Roman"/>
          <w:noProof/>
          <w:sz w:val="24"/>
          <w:lang w:val="en-GB"/>
        </w:rPr>
        <w:t>row</w:t>
      </w:r>
      <w:r w:rsidR="00222CCD" w:rsidRPr="008E2278">
        <w:rPr>
          <w:rFonts w:ascii="Times New Roman" w:hAnsi="Times New Roman"/>
          <w:noProof/>
          <w:sz w:val="24"/>
          <w:lang w:val="en-GB"/>
        </w:rPr>
        <w:t xml:space="preserve"> </w:t>
      </w:r>
      <w:r w:rsidR="00222CCD">
        <w:rPr>
          <w:rFonts w:ascii="Times New Roman" w:hAnsi="Times New Roman"/>
          <w:noProof/>
          <w:sz w:val="24"/>
          <w:lang w:val="en-GB"/>
        </w:rPr>
        <w:t>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rPr>
            </w:pPr>
            <w:r w:rsidRPr="008E2278">
              <w:rPr>
                <w:sz w:val="20"/>
                <w:szCs w:val="20"/>
              </w:rPr>
              <w:t>C0070/</w:t>
            </w:r>
          </w:p>
          <w:p w:rsidR="002F48DE" w:rsidRPr="008E2278" w:rsidRDefault="002F48DE" w:rsidP="00E6045B">
            <w:pPr>
              <w:rPr>
                <w:sz w:val="20"/>
                <w:szCs w:val="20"/>
              </w:rPr>
            </w:pPr>
            <w:r w:rsidRPr="008E2278">
              <w:rPr>
                <w:sz w:val="20"/>
                <w:szCs w:val="20"/>
              </w:rPr>
              <w:t>R0010</w:t>
            </w:r>
          </w:p>
        </w:tc>
        <w:tc>
          <w:tcPr>
            <w:tcW w:w="2785" w:type="dxa"/>
          </w:tcPr>
          <w:p w:rsidR="002F48DE" w:rsidRPr="008E2278" w:rsidRDefault="002F48DE" w:rsidP="00E6045B">
            <w:pPr>
              <w:rPr>
                <w:sz w:val="20"/>
                <w:szCs w:val="20"/>
              </w:rPr>
            </w:pPr>
            <w:r w:rsidRPr="008E2278">
              <w:rPr>
                <w:sz w:val="20"/>
                <w:szCs w:val="20"/>
              </w:rPr>
              <w:t>Impact of volatility adjustment set to zero – Technical provisions</w:t>
            </w:r>
          </w:p>
        </w:tc>
        <w:tc>
          <w:tcPr>
            <w:tcW w:w="4995" w:type="dxa"/>
          </w:tcPr>
          <w:p w:rsidR="002F48DE" w:rsidRPr="008E2278" w:rsidRDefault="002F48DE" w:rsidP="00E6045B">
            <w:pPr>
              <w:rPr>
                <w:sz w:val="20"/>
                <w:szCs w:val="20"/>
              </w:rPr>
            </w:pPr>
            <w:proofErr w:type="gramStart"/>
            <w:r w:rsidRPr="008E2278">
              <w:rPr>
                <w:sz w:val="20"/>
                <w:szCs w:val="20"/>
              </w:rPr>
              <w:t>Amount of the adjustment to the gross technical provisions due to the application of the volatility adjustment.</w:t>
            </w:r>
            <w:proofErr w:type="gramEnd"/>
            <w:r w:rsidRPr="008E2278">
              <w:rPr>
                <w:sz w:val="20"/>
                <w:szCs w:val="20"/>
              </w:rPr>
              <w:t xml:space="preserve"> It shall reflect the impact of setting the volatility adjustment to zero.</w:t>
            </w:r>
          </w:p>
          <w:p w:rsidR="002F48DE" w:rsidRPr="008E2278" w:rsidRDefault="002F48DE" w:rsidP="00E6045B">
            <w:pPr>
              <w:rPr>
                <w:sz w:val="20"/>
                <w:szCs w:val="20"/>
              </w:rPr>
            </w:pPr>
          </w:p>
          <w:p w:rsidR="002F48DE" w:rsidRPr="008E2278" w:rsidRDefault="002F48DE" w:rsidP="0046473D">
            <w:pPr>
              <w:rPr>
                <w:sz w:val="20"/>
                <w:szCs w:val="20"/>
              </w:rPr>
            </w:pPr>
            <w:r w:rsidRPr="008E2278">
              <w:rPr>
                <w:sz w:val="20"/>
                <w:szCs w:val="20"/>
              </w:rPr>
              <w:t>It shall be the difference between the technical provisions without volatility adjustment and without other transitional measures and the technical provisions</w:t>
            </w:r>
            <w:r w:rsidR="00644A50" w:rsidRPr="008E2278">
              <w:rPr>
                <w:sz w:val="20"/>
                <w:szCs w:val="20"/>
              </w:rPr>
              <w:t xml:space="preserve"> </w:t>
            </w:r>
            <w:r w:rsidR="0046473D" w:rsidRPr="008E2278">
              <w:rPr>
                <w:sz w:val="20"/>
                <w:szCs w:val="20"/>
              </w:rPr>
              <w:t>without transitional adjustment to the relevant risk free interest rate term structure</w:t>
            </w:r>
            <w:r w:rsidRPr="008E2278">
              <w:rPr>
                <w:sz w:val="20"/>
                <w:szCs w:val="20"/>
              </w:rPr>
              <w:t xml:space="preserve">. </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S.22.01.C0090/R0010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rPr>
            </w:pPr>
            <w:r w:rsidRPr="008E2278">
              <w:rPr>
                <w:sz w:val="20"/>
                <w:szCs w:val="20"/>
              </w:rPr>
              <w:t>C0090/</w:t>
            </w:r>
          </w:p>
          <w:p w:rsidR="002F48DE" w:rsidRPr="008E2278" w:rsidRDefault="002F48DE" w:rsidP="00E6045B">
            <w:pPr>
              <w:rPr>
                <w:sz w:val="20"/>
                <w:szCs w:val="20"/>
              </w:rPr>
            </w:pPr>
            <w:r w:rsidRPr="008E2278">
              <w:rPr>
                <w:sz w:val="20"/>
                <w:szCs w:val="20"/>
              </w:rPr>
              <w:t>R0010</w:t>
            </w:r>
          </w:p>
        </w:tc>
        <w:tc>
          <w:tcPr>
            <w:tcW w:w="2785" w:type="dxa"/>
          </w:tcPr>
          <w:p w:rsidR="002F48DE" w:rsidRPr="008E2278" w:rsidRDefault="002F48DE" w:rsidP="00E6045B">
            <w:pPr>
              <w:rPr>
                <w:sz w:val="20"/>
                <w:szCs w:val="20"/>
              </w:rPr>
            </w:pPr>
            <w:r w:rsidRPr="008E2278">
              <w:rPr>
                <w:sz w:val="20"/>
                <w:szCs w:val="20"/>
              </w:rPr>
              <w:t>Impact of matching adjustment set to zero – Technical Provisions</w:t>
            </w:r>
          </w:p>
        </w:tc>
        <w:tc>
          <w:tcPr>
            <w:tcW w:w="4995" w:type="dxa"/>
          </w:tcPr>
          <w:p w:rsidR="002F48DE" w:rsidRPr="008E2278" w:rsidRDefault="002F48DE" w:rsidP="00E6045B">
            <w:pPr>
              <w:rPr>
                <w:sz w:val="20"/>
                <w:szCs w:val="20"/>
              </w:rPr>
            </w:pPr>
            <w:proofErr w:type="gramStart"/>
            <w:r w:rsidRPr="008E2278">
              <w:rPr>
                <w:sz w:val="20"/>
                <w:szCs w:val="20"/>
              </w:rPr>
              <w:t>Amount of the adjustment to the gross technical provisions due to the application of the matching adjustment.</w:t>
            </w:r>
            <w:proofErr w:type="gramEnd"/>
            <w:r w:rsidRPr="008E2278">
              <w:rPr>
                <w:sz w:val="20"/>
                <w:szCs w:val="20"/>
              </w:rPr>
              <w:t xml:space="preserve"> It shall include the impact of setting the volatility adjustment and the matching adjustment to zero.</w:t>
            </w:r>
          </w:p>
          <w:p w:rsidR="002F48DE" w:rsidRPr="008E2278" w:rsidRDefault="002F48DE" w:rsidP="00E6045B">
            <w:pPr>
              <w:rPr>
                <w:sz w:val="20"/>
                <w:szCs w:val="20"/>
              </w:rPr>
            </w:pPr>
          </w:p>
          <w:p w:rsidR="002F48DE" w:rsidRPr="008E2278" w:rsidRDefault="002F48DE" w:rsidP="0046473D">
            <w:pPr>
              <w:rPr>
                <w:sz w:val="20"/>
                <w:szCs w:val="20"/>
              </w:rPr>
            </w:pPr>
            <w:r w:rsidRPr="008E2278">
              <w:rPr>
                <w:sz w:val="20"/>
                <w:szCs w:val="20"/>
              </w:rPr>
              <w:t xml:space="preserve">It shall be the difference between the technical provisions without matching adjustment and without all the other transitional measures and the technical provisions </w:t>
            </w:r>
            <w:r w:rsidR="0046473D" w:rsidRPr="008E2278">
              <w:rPr>
                <w:sz w:val="20"/>
                <w:szCs w:val="20"/>
              </w:rPr>
              <w:t>without volatility adjustment and without other transitional measures</w:t>
            </w:r>
            <w:r w:rsidR="00644A50" w:rsidRPr="008E2278">
              <w:rPr>
                <w:sz w:val="20"/>
                <w:szCs w:val="20"/>
              </w:rPr>
              <w:t>.</w:t>
            </w:r>
          </w:p>
        </w:tc>
      </w:tr>
    </w:tbl>
    <w:p w:rsidR="001F33C1" w:rsidRDefault="001F33C1" w:rsidP="006F600D">
      <w:pPr>
        <w:pStyle w:val="ListParagraph"/>
        <w:rPr>
          <w:rFonts w:ascii="Times New Roman" w:hAnsi="Times New Roman"/>
          <w:noProof/>
          <w:color w:val="000000"/>
          <w:sz w:val="24"/>
          <w:lang w:val="en-GB"/>
        </w:rPr>
      </w:pPr>
      <w:r>
        <w:rPr>
          <w:rFonts w:ascii="Times New Roman" w:hAnsi="Times New Roman"/>
          <w:noProof/>
          <w:color w:val="000000"/>
          <w:sz w:val="24"/>
          <w:lang w:val="en-GB"/>
        </w:rPr>
        <w:t>;</w:t>
      </w:r>
    </w:p>
    <w:p w:rsidR="002F48DE" w:rsidRPr="00CD6D0B" w:rsidRDefault="002F48DE" w:rsidP="00CD6D0B">
      <w:pPr>
        <w:pStyle w:val="ListParagraph"/>
        <w:numPr>
          <w:ilvl w:val="0"/>
          <w:numId w:val="147"/>
        </w:numPr>
        <w:ind w:left="709"/>
        <w:rPr>
          <w:rFonts w:ascii="Times New Roman" w:hAnsi="Times New Roman"/>
          <w:noProof/>
          <w:sz w:val="24"/>
          <w:lang w:val="en-GB"/>
        </w:rPr>
      </w:pPr>
      <w:r w:rsidRPr="00CD6D0B">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CD6D0B">
        <w:rPr>
          <w:rFonts w:ascii="Times New Roman" w:hAnsi="Times New Roman"/>
          <w:noProof/>
          <w:sz w:val="24"/>
          <w:lang w:val="en-GB"/>
        </w:rPr>
        <w:t xml:space="preserve">S.22.01.C0050/R0020 the </w:t>
      </w:r>
      <w:r w:rsidR="00222CCD" w:rsidRPr="00CD6D0B">
        <w:rPr>
          <w:rFonts w:ascii="Times New Roman" w:hAnsi="Times New Roman"/>
          <w:noProof/>
          <w:sz w:val="24"/>
          <w:lang w:val="en-GB"/>
        </w:rPr>
        <w:t>row is</w:t>
      </w:r>
      <w:r w:rsidRPr="00CD6D0B">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Borders>
              <w:bottom w:val="single" w:sz="4" w:space="0" w:color="auto"/>
            </w:tcBorders>
          </w:tcPr>
          <w:p w:rsidR="002F48DE" w:rsidRPr="008E2278" w:rsidRDefault="002F48DE" w:rsidP="00E6045B">
            <w:pPr>
              <w:rPr>
                <w:sz w:val="20"/>
                <w:szCs w:val="20"/>
                <w:lang w:val="en-US"/>
              </w:rPr>
            </w:pPr>
            <w:r w:rsidRPr="008E2278">
              <w:rPr>
                <w:sz w:val="20"/>
                <w:szCs w:val="20"/>
                <w:lang w:val="en-US"/>
              </w:rPr>
              <w:t>C0050/</w:t>
            </w:r>
          </w:p>
          <w:p w:rsidR="002F48DE" w:rsidRPr="008E2278" w:rsidRDefault="002F48DE" w:rsidP="00E6045B">
            <w:pPr>
              <w:rPr>
                <w:sz w:val="20"/>
                <w:szCs w:val="20"/>
                <w:lang w:val="en-US"/>
              </w:rPr>
            </w:pPr>
            <w:r w:rsidRPr="008E2278">
              <w:rPr>
                <w:sz w:val="20"/>
                <w:szCs w:val="20"/>
                <w:lang w:val="en-US"/>
              </w:rPr>
              <w:t>R0020</w:t>
            </w:r>
          </w:p>
        </w:tc>
        <w:tc>
          <w:tcPr>
            <w:tcW w:w="2785" w:type="dxa"/>
            <w:tcBorders>
              <w:bottom w:val="single" w:sz="4" w:space="0" w:color="auto"/>
            </w:tcBorders>
          </w:tcPr>
          <w:p w:rsidR="002F48DE" w:rsidRPr="008E2278" w:rsidRDefault="002F48DE" w:rsidP="00E6045B">
            <w:pPr>
              <w:rPr>
                <w:sz w:val="20"/>
                <w:szCs w:val="20"/>
              </w:rPr>
            </w:pPr>
            <w:r w:rsidRPr="008E2278">
              <w:rPr>
                <w:sz w:val="20"/>
                <w:szCs w:val="20"/>
              </w:rPr>
              <w:t>Impact of transitional on interest rate – Basic own funds</w:t>
            </w:r>
          </w:p>
        </w:tc>
        <w:tc>
          <w:tcPr>
            <w:tcW w:w="4995" w:type="dxa"/>
            <w:tcBorders>
              <w:bottom w:val="single" w:sz="4" w:space="0" w:color="auto"/>
            </w:tcBorders>
          </w:tcPr>
          <w:p w:rsidR="002F48DE" w:rsidRPr="008E2278" w:rsidRDefault="002F48DE" w:rsidP="00E6045B">
            <w:pPr>
              <w:rPr>
                <w:sz w:val="20"/>
                <w:szCs w:val="20"/>
              </w:rPr>
            </w:pPr>
            <w:r w:rsidRPr="008E2278">
              <w:rPr>
                <w:sz w:val="20"/>
                <w:szCs w:val="20"/>
              </w:rPr>
              <w:t>Amount of the adjustment to the basic own funds due to the application of the transitional</w:t>
            </w:r>
            <w:r w:rsidR="00F74D61" w:rsidRPr="008E2278">
              <w:rPr>
                <w:sz w:val="20"/>
                <w:szCs w:val="20"/>
              </w:rPr>
              <w:t xml:space="preserve"> adjustment to the relevant risk-free interest rate term structure on interest</w:t>
            </w:r>
            <w:r w:rsidRPr="008E2278">
              <w:rPr>
                <w:sz w:val="20"/>
                <w:szCs w:val="20"/>
              </w:rPr>
              <w:t>.</w:t>
            </w:r>
          </w:p>
          <w:p w:rsidR="002F48DE" w:rsidRPr="008E2278" w:rsidRDefault="002F48DE" w:rsidP="00E6045B">
            <w:pPr>
              <w:rPr>
                <w:sz w:val="20"/>
                <w:szCs w:val="20"/>
              </w:rPr>
            </w:pPr>
          </w:p>
          <w:p w:rsidR="002F48DE" w:rsidRPr="008E2278" w:rsidRDefault="002F48DE" w:rsidP="003773F4">
            <w:pPr>
              <w:rPr>
                <w:sz w:val="20"/>
                <w:szCs w:val="20"/>
              </w:rPr>
            </w:pPr>
            <w:r w:rsidRPr="008E2278">
              <w:rPr>
                <w:sz w:val="20"/>
                <w:szCs w:val="20"/>
              </w:rPr>
              <w:t xml:space="preserve">It shall be the difference between the basic own funds calculated considering technical provisions without transitional </w:t>
            </w:r>
            <w:r w:rsidR="00F74D61" w:rsidRPr="008E2278">
              <w:rPr>
                <w:sz w:val="20"/>
                <w:szCs w:val="20"/>
              </w:rPr>
              <w:t xml:space="preserve">adjustment to the relevant risk-free interest rate term structure and </w:t>
            </w:r>
            <w:r w:rsidRPr="008E2278">
              <w:rPr>
                <w:sz w:val="20"/>
                <w:szCs w:val="20"/>
              </w:rPr>
              <w:t xml:space="preserve">the technical provisions </w:t>
            </w:r>
            <w:r w:rsidR="0046473D" w:rsidRPr="008E2278">
              <w:rPr>
                <w:sz w:val="20"/>
                <w:szCs w:val="20"/>
              </w:rPr>
              <w:t>without transitional on technical provisions</w:t>
            </w:r>
            <w:r w:rsidR="00B952BB" w:rsidRPr="008E2278">
              <w:rPr>
                <w:sz w:val="20"/>
                <w:szCs w:val="20"/>
              </w:rPr>
              <w:t>.</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S.22.01.C0070/R0020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Borders>
              <w:bottom w:val="single" w:sz="4" w:space="0" w:color="auto"/>
            </w:tcBorders>
          </w:tcPr>
          <w:p w:rsidR="002F48DE" w:rsidRPr="008E2278" w:rsidRDefault="002F48DE" w:rsidP="00E6045B">
            <w:pPr>
              <w:rPr>
                <w:sz w:val="20"/>
                <w:szCs w:val="20"/>
              </w:rPr>
            </w:pPr>
            <w:r w:rsidRPr="008E2278">
              <w:rPr>
                <w:sz w:val="20"/>
                <w:szCs w:val="20"/>
              </w:rPr>
              <w:t>C0070/</w:t>
            </w:r>
          </w:p>
          <w:p w:rsidR="002F48DE" w:rsidRPr="008E2278" w:rsidRDefault="002F48DE" w:rsidP="00E6045B">
            <w:pPr>
              <w:rPr>
                <w:sz w:val="20"/>
                <w:szCs w:val="20"/>
              </w:rPr>
            </w:pPr>
            <w:r w:rsidRPr="008E2278">
              <w:rPr>
                <w:sz w:val="20"/>
                <w:szCs w:val="20"/>
              </w:rPr>
              <w:t>R0020</w:t>
            </w:r>
          </w:p>
        </w:tc>
        <w:tc>
          <w:tcPr>
            <w:tcW w:w="2785" w:type="dxa"/>
            <w:tcBorders>
              <w:bottom w:val="single" w:sz="4" w:space="0" w:color="auto"/>
            </w:tcBorders>
          </w:tcPr>
          <w:p w:rsidR="002F48DE" w:rsidRPr="008E2278" w:rsidRDefault="002F48DE" w:rsidP="00E6045B">
            <w:pPr>
              <w:rPr>
                <w:sz w:val="20"/>
                <w:szCs w:val="20"/>
              </w:rPr>
            </w:pPr>
            <w:r w:rsidRPr="008E2278">
              <w:rPr>
                <w:sz w:val="20"/>
                <w:szCs w:val="20"/>
              </w:rPr>
              <w:t>Impact of volatility adjustment set to zero – Basic own funds</w:t>
            </w:r>
          </w:p>
        </w:tc>
        <w:tc>
          <w:tcPr>
            <w:tcW w:w="4995" w:type="dxa"/>
            <w:tcBorders>
              <w:bottom w:val="single" w:sz="4" w:space="0" w:color="auto"/>
            </w:tcBorders>
          </w:tcPr>
          <w:p w:rsidR="002F48DE" w:rsidRPr="008E2278" w:rsidRDefault="002F48DE" w:rsidP="00E6045B">
            <w:pPr>
              <w:rPr>
                <w:sz w:val="20"/>
                <w:szCs w:val="20"/>
              </w:rPr>
            </w:pPr>
            <w:r w:rsidRPr="008E2278">
              <w:rPr>
                <w:sz w:val="20"/>
                <w:szCs w:val="20"/>
              </w:rPr>
              <w:t>Amount of the adjustment to the Basic own funds due to the application of the volatility adjustment. It shall reflect the impact of setting the volatility adjustment to zero.</w:t>
            </w:r>
          </w:p>
          <w:p w:rsidR="002F48DE" w:rsidRPr="008E2278" w:rsidRDefault="002F48DE" w:rsidP="00E6045B">
            <w:pPr>
              <w:rPr>
                <w:sz w:val="20"/>
                <w:szCs w:val="20"/>
              </w:rPr>
            </w:pPr>
          </w:p>
          <w:p w:rsidR="002F48DE" w:rsidRPr="008E2278" w:rsidRDefault="002F48DE" w:rsidP="00C95D4F">
            <w:pPr>
              <w:rPr>
                <w:sz w:val="20"/>
                <w:szCs w:val="20"/>
              </w:rPr>
            </w:pPr>
            <w:r w:rsidRPr="008E2278">
              <w:rPr>
                <w:sz w:val="20"/>
                <w:szCs w:val="20"/>
              </w:rPr>
              <w:t xml:space="preserve">It shall be the difference between the basic own funds considering technical provisions without volatility adjustment and without other transitional measures and the basic own funds considering technical provisions </w:t>
            </w:r>
            <w:r w:rsidR="0046473D" w:rsidRPr="008E2278">
              <w:rPr>
                <w:sz w:val="20"/>
                <w:szCs w:val="20"/>
              </w:rPr>
              <w:t>without transitional adjustment to the relevant risk free interest rate term structure</w:t>
            </w:r>
            <w:r w:rsidR="00C95D4F" w:rsidRPr="008E2278">
              <w:rPr>
                <w:sz w:val="20"/>
                <w:szCs w:val="20"/>
              </w:rPr>
              <w:t>.</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S.22.01.C0090/R0020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Borders>
              <w:bottom w:val="single" w:sz="4" w:space="0" w:color="auto"/>
            </w:tcBorders>
          </w:tcPr>
          <w:p w:rsidR="002F48DE" w:rsidRPr="008E2278" w:rsidRDefault="002F48DE" w:rsidP="00E6045B">
            <w:pPr>
              <w:rPr>
                <w:sz w:val="20"/>
                <w:szCs w:val="20"/>
              </w:rPr>
            </w:pPr>
            <w:r w:rsidRPr="008E2278">
              <w:rPr>
                <w:sz w:val="20"/>
                <w:szCs w:val="20"/>
              </w:rPr>
              <w:t>C0090/</w:t>
            </w:r>
          </w:p>
          <w:p w:rsidR="002F48DE" w:rsidRPr="008E2278" w:rsidRDefault="002F48DE" w:rsidP="00E6045B">
            <w:pPr>
              <w:rPr>
                <w:sz w:val="20"/>
                <w:szCs w:val="20"/>
              </w:rPr>
            </w:pPr>
            <w:r w:rsidRPr="008E2278">
              <w:rPr>
                <w:sz w:val="20"/>
                <w:szCs w:val="20"/>
              </w:rPr>
              <w:t>R0020</w:t>
            </w:r>
          </w:p>
        </w:tc>
        <w:tc>
          <w:tcPr>
            <w:tcW w:w="2785" w:type="dxa"/>
            <w:tcBorders>
              <w:bottom w:val="single" w:sz="4" w:space="0" w:color="auto"/>
            </w:tcBorders>
          </w:tcPr>
          <w:p w:rsidR="002F48DE" w:rsidRPr="008E2278" w:rsidRDefault="002F48DE" w:rsidP="00E6045B">
            <w:pPr>
              <w:rPr>
                <w:sz w:val="20"/>
                <w:szCs w:val="20"/>
              </w:rPr>
            </w:pPr>
            <w:r w:rsidRPr="008E2278">
              <w:rPr>
                <w:sz w:val="20"/>
                <w:szCs w:val="20"/>
              </w:rPr>
              <w:t>Impact of matching adjustment set to zero – Basic own funds</w:t>
            </w:r>
          </w:p>
        </w:tc>
        <w:tc>
          <w:tcPr>
            <w:tcW w:w="4995" w:type="dxa"/>
            <w:tcBorders>
              <w:bottom w:val="single" w:sz="4" w:space="0" w:color="auto"/>
            </w:tcBorders>
          </w:tcPr>
          <w:p w:rsidR="002F48DE" w:rsidRPr="008E2278" w:rsidRDefault="002F48DE" w:rsidP="00E6045B">
            <w:pPr>
              <w:rPr>
                <w:sz w:val="20"/>
                <w:szCs w:val="20"/>
              </w:rPr>
            </w:pPr>
            <w:r w:rsidRPr="008E2278">
              <w:rPr>
                <w:sz w:val="20"/>
                <w:szCs w:val="20"/>
              </w:rPr>
              <w:t>Amount of the adjustment to the basic own funds due to the application of the matching adjustment. It shall include the impact of setting the volatility adjustment and the matching adjustment to zero.</w:t>
            </w:r>
          </w:p>
          <w:p w:rsidR="002F48DE" w:rsidRPr="008E2278" w:rsidRDefault="002F48DE" w:rsidP="00E6045B">
            <w:pPr>
              <w:rPr>
                <w:sz w:val="20"/>
                <w:szCs w:val="20"/>
              </w:rPr>
            </w:pPr>
          </w:p>
          <w:p w:rsidR="002F48DE" w:rsidRPr="008E2278" w:rsidRDefault="002F48DE" w:rsidP="00246EED">
            <w:pPr>
              <w:rPr>
                <w:sz w:val="20"/>
                <w:szCs w:val="20"/>
              </w:rPr>
            </w:pPr>
            <w:r w:rsidRPr="008E2278">
              <w:rPr>
                <w:sz w:val="20"/>
                <w:szCs w:val="20"/>
              </w:rPr>
              <w:t xml:space="preserve">It shall be the difference between the basic own funds considering technical provisions without matching adjustment and without all the other transitional measures and the basic own funds considering technical provisions </w:t>
            </w:r>
            <w:r w:rsidR="0046473D" w:rsidRPr="008E2278">
              <w:rPr>
                <w:sz w:val="20"/>
                <w:szCs w:val="20"/>
              </w:rPr>
              <w:t>without volatility adjustment and without other transitional measures</w:t>
            </w:r>
            <w:r w:rsidRPr="008E2278">
              <w:rPr>
                <w:sz w:val="20"/>
                <w:szCs w:val="20"/>
              </w:rPr>
              <w:t xml:space="preserve">.  </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S.22.01.C0050/R0050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lang w:val="en-US"/>
              </w:rPr>
            </w:pPr>
            <w:r w:rsidRPr="008E2278">
              <w:rPr>
                <w:sz w:val="20"/>
                <w:szCs w:val="20"/>
                <w:lang w:val="en-US"/>
              </w:rPr>
              <w:t>C0050/</w:t>
            </w:r>
          </w:p>
          <w:p w:rsidR="002F48DE" w:rsidRPr="008E2278" w:rsidRDefault="002F48DE" w:rsidP="00E6045B">
            <w:pPr>
              <w:rPr>
                <w:sz w:val="20"/>
                <w:szCs w:val="20"/>
                <w:lang w:val="en-US"/>
              </w:rPr>
            </w:pPr>
            <w:r w:rsidRPr="008E2278">
              <w:rPr>
                <w:sz w:val="20"/>
                <w:szCs w:val="20"/>
                <w:lang w:val="en-US"/>
              </w:rPr>
              <w:t>R0050</w:t>
            </w:r>
          </w:p>
        </w:tc>
        <w:tc>
          <w:tcPr>
            <w:tcW w:w="2785" w:type="dxa"/>
          </w:tcPr>
          <w:p w:rsidR="002F48DE" w:rsidRPr="008E2278" w:rsidRDefault="002F48DE" w:rsidP="00E6045B">
            <w:pPr>
              <w:rPr>
                <w:sz w:val="20"/>
                <w:szCs w:val="20"/>
              </w:rPr>
            </w:pPr>
            <w:r w:rsidRPr="008E2278">
              <w:rPr>
                <w:sz w:val="20"/>
                <w:szCs w:val="20"/>
              </w:rPr>
              <w:t xml:space="preserve">Impact of transitional on interest rate – Eligible own funds to meet SCR </w:t>
            </w:r>
          </w:p>
        </w:tc>
        <w:tc>
          <w:tcPr>
            <w:tcW w:w="4995" w:type="dxa"/>
          </w:tcPr>
          <w:p w:rsidR="002F48DE" w:rsidRPr="008E2278" w:rsidRDefault="002F48DE" w:rsidP="00E6045B">
            <w:pPr>
              <w:rPr>
                <w:sz w:val="20"/>
                <w:szCs w:val="20"/>
              </w:rPr>
            </w:pPr>
            <w:proofErr w:type="gramStart"/>
            <w:r w:rsidRPr="008E2278">
              <w:rPr>
                <w:sz w:val="20"/>
                <w:szCs w:val="20"/>
              </w:rPr>
              <w:t xml:space="preserve">Amount of the adjustment to the eligible own funds to meet SCR due to the application of the transitional </w:t>
            </w:r>
            <w:r w:rsidR="00246EED" w:rsidRPr="008E2278">
              <w:rPr>
                <w:sz w:val="20"/>
                <w:szCs w:val="20"/>
              </w:rPr>
              <w:t>adjustment to the relevant risk-free interest rate term structure</w:t>
            </w:r>
            <w:r w:rsidRPr="008E2278">
              <w:rPr>
                <w:sz w:val="20"/>
                <w:szCs w:val="20"/>
              </w:rPr>
              <w:t>.</w:t>
            </w:r>
            <w:proofErr w:type="gramEnd"/>
          </w:p>
          <w:p w:rsidR="002F48DE" w:rsidRPr="008E2278" w:rsidRDefault="002F48DE" w:rsidP="00E6045B">
            <w:pPr>
              <w:rPr>
                <w:sz w:val="20"/>
                <w:szCs w:val="20"/>
              </w:rPr>
            </w:pPr>
          </w:p>
          <w:p w:rsidR="002F48DE" w:rsidRPr="008E2278" w:rsidRDefault="002F48DE" w:rsidP="004F1ACF">
            <w:pPr>
              <w:rPr>
                <w:sz w:val="20"/>
                <w:szCs w:val="20"/>
              </w:rPr>
            </w:pPr>
            <w:r w:rsidRPr="008E2278">
              <w:rPr>
                <w:sz w:val="20"/>
                <w:szCs w:val="20"/>
              </w:rPr>
              <w:t xml:space="preserve">It shall be the difference between the eligible own funds to meet SCR calculated considering technical provisions without transitional </w:t>
            </w:r>
            <w:r w:rsidR="00246EED" w:rsidRPr="008E2278">
              <w:rPr>
                <w:sz w:val="20"/>
                <w:szCs w:val="20"/>
              </w:rPr>
              <w:t xml:space="preserve">adjustment to the relevant risk-free interest rate term structure </w:t>
            </w:r>
            <w:r w:rsidRPr="008E2278">
              <w:rPr>
                <w:sz w:val="20"/>
                <w:szCs w:val="20"/>
              </w:rPr>
              <w:t xml:space="preserve">and the technical provisions </w:t>
            </w:r>
            <w:r w:rsidR="0046473D" w:rsidRPr="008E2278">
              <w:rPr>
                <w:sz w:val="20"/>
                <w:szCs w:val="20"/>
              </w:rPr>
              <w:t>without transitional on technical provisions</w:t>
            </w:r>
            <w:r w:rsidRPr="008E2278">
              <w:rPr>
                <w:sz w:val="20"/>
                <w:szCs w:val="20"/>
              </w:rPr>
              <w:t>.</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S.22.01.C0070/R0050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rPr>
            </w:pPr>
            <w:r w:rsidRPr="008E2278">
              <w:rPr>
                <w:sz w:val="20"/>
                <w:szCs w:val="20"/>
              </w:rPr>
              <w:t>C0070/</w:t>
            </w:r>
          </w:p>
          <w:p w:rsidR="002F48DE" w:rsidRPr="008E2278" w:rsidRDefault="002F48DE" w:rsidP="00E6045B">
            <w:pPr>
              <w:rPr>
                <w:sz w:val="20"/>
                <w:szCs w:val="20"/>
              </w:rPr>
            </w:pPr>
            <w:r w:rsidRPr="008E2278">
              <w:rPr>
                <w:sz w:val="20"/>
                <w:szCs w:val="20"/>
              </w:rPr>
              <w:t>R0050</w:t>
            </w:r>
          </w:p>
        </w:tc>
        <w:tc>
          <w:tcPr>
            <w:tcW w:w="2785" w:type="dxa"/>
          </w:tcPr>
          <w:p w:rsidR="002F48DE" w:rsidRPr="008E2278" w:rsidRDefault="002F48DE" w:rsidP="00E6045B">
            <w:pPr>
              <w:rPr>
                <w:sz w:val="20"/>
                <w:szCs w:val="20"/>
              </w:rPr>
            </w:pPr>
            <w:r w:rsidRPr="008E2278">
              <w:rPr>
                <w:sz w:val="20"/>
                <w:szCs w:val="20"/>
              </w:rPr>
              <w:t>Impact of volatility adjustment set to zero – Eligible own funds to meet SCR</w:t>
            </w:r>
          </w:p>
        </w:tc>
        <w:tc>
          <w:tcPr>
            <w:tcW w:w="4995" w:type="dxa"/>
          </w:tcPr>
          <w:p w:rsidR="002F48DE" w:rsidRPr="008E2278" w:rsidRDefault="002F48DE" w:rsidP="00E6045B">
            <w:pPr>
              <w:rPr>
                <w:sz w:val="20"/>
                <w:szCs w:val="20"/>
              </w:rPr>
            </w:pPr>
            <w:proofErr w:type="gramStart"/>
            <w:r w:rsidRPr="008E2278">
              <w:rPr>
                <w:sz w:val="20"/>
                <w:szCs w:val="20"/>
              </w:rPr>
              <w:t>Amount of the adjustment to the eligible own funds to meet SCR due to the application of the volatility adjustment.</w:t>
            </w:r>
            <w:proofErr w:type="gramEnd"/>
            <w:r w:rsidRPr="008E2278">
              <w:rPr>
                <w:sz w:val="20"/>
                <w:szCs w:val="20"/>
              </w:rPr>
              <w:t xml:space="preserve"> It shall reflect the impact of setting the volatility adjustment to zero.</w:t>
            </w:r>
          </w:p>
          <w:p w:rsidR="002F48DE" w:rsidRPr="008E2278" w:rsidRDefault="002F48DE" w:rsidP="00E6045B">
            <w:pPr>
              <w:rPr>
                <w:sz w:val="20"/>
                <w:szCs w:val="20"/>
              </w:rPr>
            </w:pPr>
          </w:p>
          <w:p w:rsidR="002F48DE" w:rsidRPr="008E2278" w:rsidRDefault="002F48DE" w:rsidP="00EE45EF">
            <w:pPr>
              <w:rPr>
                <w:sz w:val="20"/>
                <w:szCs w:val="20"/>
              </w:rPr>
            </w:pPr>
            <w:r w:rsidRPr="008E2278">
              <w:rPr>
                <w:sz w:val="20"/>
                <w:szCs w:val="20"/>
              </w:rPr>
              <w:t xml:space="preserve">It shall be the difference between the eligible own funds to meet SCR considering technical provisions without volatility adjustment and without other transitional measures and the eligible own funds to meet SCR considering technical provisions </w:t>
            </w:r>
            <w:r w:rsidR="0046473D" w:rsidRPr="008E2278">
              <w:rPr>
                <w:sz w:val="20"/>
                <w:szCs w:val="20"/>
              </w:rPr>
              <w:t>without transitional adjustment to the relevant risk free interest rate term structure</w:t>
            </w:r>
            <w:r w:rsidRPr="008E2278">
              <w:rPr>
                <w:sz w:val="20"/>
                <w:szCs w:val="20"/>
              </w:rPr>
              <w:t xml:space="preserve">. </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S.22.01.C0090/R0050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rPr>
            </w:pPr>
            <w:r w:rsidRPr="008E2278">
              <w:rPr>
                <w:sz w:val="20"/>
                <w:szCs w:val="20"/>
              </w:rPr>
              <w:t>C0090/</w:t>
            </w:r>
          </w:p>
          <w:p w:rsidR="002F48DE" w:rsidRPr="008E2278" w:rsidRDefault="002F48DE" w:rsidP="00E6045B">
            <w:pPr>
              <w:rPr>
                <w:sz w:val="20"/>
                <w:szCs w:val="20"/>
              </w:rPr>
            </w:pPr>
            <w:r w:rsidRPr="008E2278">
              <w:rPr>
                <w:sz w:val="20"/>
                <w:szCs w:val="20"/>
              </w:rPr>
              <w:t>R0050</w:t>
            </w:r>
          </w:p>
        </w:tc>
        <w:tc>
          <w:tcPr>
            <w:tcW w:w="2785" w:type="dxa"/>
          </w:tcPr>
          <w:p w:rsidR="002F48DE" w:rsidRPr="008E2278" w:rsidRDefault="002F48DE" w:rsidP="00E6045B">
            <w:pPr>
              <w:rPr>
                <w:sz w:val="20"/>
                <w:szCs w:val="20"/>
              </w:rPr>
            </w:pPr>
            <w:r w:rsidRPr="008E2278">
              <w:rPr>
                <w:sz w:val="20"/>
                <w:szCs w:val="20"/>
              </w:rPr>
              <w:t xml:space="preserve">Impact of matching adjustment set to zero – Eligible own funds to meet SCR </w:t>
            </w:r>
          </w:p>
        </w:tc>
        <w:tc>
          <w:tcPr>
            <w:tcW w:w="4995" w:type="dxa"/>
          </w:tcPr>
          <w:p w:rsidR="002F48DE" w:rsidRPr="008E2278" w:rsidRDefault="002F48DE" w:rsidP="00E6045B">
            <w:pPr>
              <w:rPr>
                <w:sz w:val="20"/>
                <w:szCs w:val="20"/>
              </w:rPr>
            </w:pPr>
            <w:proofErr w:type="gramStart"/>
            <w:r w:rsidRPr="008E2278">
              <w:rPr>
                <w:sz w:val="20"/>
                <w:szCs w:val="20"/>
              </w:rPr>
              <w:t>Amount of the adjustment to the eligible own funds to meet SCR due to the application of the matching adjustment.</w:t>
            </w:r>
            <w:proofErr w:type="gramEnd"/>
            <w:r w:rsidRPr="008E2278">
              <w:rPr>
                <w:sz w:val="20"/>
                <w:szCs w:val="20"/>
              </w:rPr>
              <w:t xml:space="preserve"> It shall include the impact of setting the volatility adjustment and the matching adjustment to zero.</w:t>
            </w:r>
          </w:p>
          <w:p w:rsidR="002F48DE" w:rsidRPr="008E2278" w:rsidRDefault="002F48DE" w:rsidP="00E6045B">
            <w:pPr>
              <w:rPr>
                <w:sz w:val="20"/>
                <w:szCs w:val="20"/>
              </w:rPr>
            </w:pPr>
          </w:p>
          <w:p w:rsidR="002F48DE" w:rsidRPr="008E2278" w:rsidRDefault="002F48DE" w:rsidP="00EE45EF">
            <w:pPr>
              <w:rPr>
                <w:sz w:val="20"/>
                <w:szCs w:val="20"/>
              </w:rPr>
            </w:pPr>
            <w:r w:rsidRPr="008E2278">
              <w:rPr>
                <w:sz w:val="20"/>
                <w:szCs w:val="20"/>
              </w:rPr>
              <w:t xml:space="preserve">It shall be the difference between the eligible own funds to meet SCR calculated  considering technical provisions without matching adjustment and without all the other transitional measures and eligible own funds to meet SCR considering technical provisions </w:t>
            </w:r>
            <w:r w:rsidR="0046473D" w:rsidRPr="008E2278">
              <w:rPr>
                <w:sz w:val="20"/>
                <w:szCs w:val="20"/>
              </w:rPr>
              <w:t>without volatility adjustment and without other transitional measures</w:t>
            </w:r>
            <w:r w:rsidRPr="008E2278">
              <w:rPr>
                <w:sz w:val="20"/>
                <w:szCs w:val="20"/>
              </w:rPr>
              <w:t xml:space="preserve">.  </w:t>
            </w:r>
          </w:p>
        </w:tc>
      </w:tr>
    </w:tbl>
    <w:p w:rsidR="00F2461A" w:rsidRDefault="00F2461A" w:rsidP="00F2461A">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S.22.01.C0050/R0090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lang w:val="en-US"/>
              </w:rPr>
            </w:pPr>
            <w:r w:rsidRPr="008E2278">
              <w:rPr>
                <w:sz w:val="20"/>
                <w:szCs w:val="20"/>
                <w:lang w:val="en-US"/>
              </w:rPr>
              <w:t>C0050/</w:t>
            </w:r>
          </w:p>
          <w:p w:rsidR="002F48DE" w:rsidRPr="008E2278" w:rsidRDefault="002F48DE" w:rsidP="00E6045B">
            <w:pPr>
              <w:rPr>
                <w:sz w:val="20"/>
                <w:szCs w:val="20"/>
                <w:lang w:val="en-US"/>
              </w:rPr>
            </w:pPr>
            <w:r w:rsidRPr="008E2278">
              <w:rPr>
                <w:sz w:val="20"/>
                <w:szCs w:val="20"/>
                <w:lang w:val="en-US"/>
              </w:rPr>
              <w:t>R0090</w:t>
            </w:r>
          </w:p>
        </w:tc>
        <w:tc>
          <w:tcPr>
            <w:tcW w:w="2785" w:type="dxa"/>
          </w:tcPr>
          <w:p w:rsidR="002F48DE" w:rsidRPr="008E2278" w:rsidRDefault="002F48DE" w:rsidP="00E6045B">
            <w:pPr>
              <w:rPr>
                <w:sz w:val="20"/>
                <w:szCs w:val="20"/>
              </w:rPr>
            </w:pPr>
            <w:r w:rsidRPr="008E2278">
              <w:rPr>
                <w:sz w:val="20"/>
                <w:szCs w:val="20"/>
              </w:rPr>
              <w:t xml:space="preserve">Impact of transitional on interest rate – SCR </w:t>
            </w:r>
          </w:p>
        </w:tc>
        <w:tc>
          <w:tcPr>
            <w:tcW w:w="4995" w:type="dxa"/>
          </w:tcPr>
          <w:p w:rsidR="002F48DE" w:rsidRPr="008E2278" w:rsidRDefault="002F48DE" w:rsidP="00E6045B">
            <w:pPr>
              <w:rPr>
                <w:sz w:val="20"/>
                <w:szCs w:val="20"/>
              </w:rPr>
            </w:pPr>
            <w:proofErr w:type="gramStart"/>
            <w:r w:rsidRPr="008E2278">
              <w:rPr>
                <w:sz w:val="20"/>
                <w:szCs w:val="20"/>
              </w:rPr>
              <w:t>Amount of the adjustment to the SCR due to the application of the transitional</w:t>
            </w:r>
            <w:r w:rsidR="00E43015" w:rsidRPr="008E2278">
              <w:rPr>
                <w:sz w:val="20"/>
                <w:szCs w:val="20"/>
              </w:rPr>
              <w:t xml:space="preserve"> adjustment to the relevant risk-free interest rate term structure.</w:t>
            </w:r>
            <w:proofErr w:type="gramEnd"/>
          </w:p>
          <w:p w:rsidR="002F48DE" w:rsidRPr="008E2278" w:rsidRDefault="002F48DE" w:rsidP="00E6045B">
            <w:pPr>
              <w:rPr>
                <w:sz w:val="20"/>
                <w:szCs w:val="20"/>
              </w:rPr>
            </w:pPr>
          </w:p>
          <w:p w:rsidR="002F48DE" w:rsidRPr="008E2278" w:rsidRDefault="002F48DE" w:rsidP="00E43015">
            <w:pPr>
              <w:rPr>
                <w:sz w:val="20"/>
                <w:szCs w:val="20"/>
              </w:rPr>
            </w:pPr>
            <w:r w:rsidRPr="008E2278">
              <w:rPr>
                <w:sz w:val="20"/>
                <w:szCs w:val="20"/>
              </w:rPr>
              <w:t xml:space="preserve">It shall be the difference between the SCR calculated considering technical provisions without transitional </w:t>
            </w:r>
            <w:r w:rsidR="00E43015" w:rsidRPr="008E2278">
              <w:rPr>
                <w:sz w:val="20"/>
                <w:szCs w:val="20"/>
              </w:rPr>
              <w:t>adjustment to the relevant risk-free interest rate term structure</w:t>
            </w:r>
            <w:r w:rsidRPr="008E2278">
              <w:rPr>
                <w:sz w:val="20"/>
                <w:szCs w:val="20"/>
              </w:rPr>
              <w:t xml:space="preserve"> and the technical provisions </w:t>
            </w:r>
            <w:r w:rsidR="0046473D" w:rsidRPr="008E2278">
              <w:rPr>
                <w:sz w:val="20"/>
                <w:szCs w:val="20"/>
              </w:rPr>
              <w:t>without transitional on technical provisions</w:t>
            </w:r>
            <w:r w:rsidRPr="008E2278">
              <w:rPr>
                <w:sz w:val="20"/>
                <w:szCs w:val="20"/>
              </w:rPr>
              <w:t>.</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S.22.01.C0070/R0090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rPr>
            </w:pPr>
            <w:r w:rsidRPr="008E2278">
              <w:rPr>
                <w:sz w:val="20"/>
                <w:szCs w:val="20"/>
              </w:rPr>
              <w:t>C0070/</w:t>
            </w:r>
          </w:p>
          <w:p w:rsidR="002F48DE" w:rsidRPr="008E2278" w:rsidRDefault="002F48DE" w:rsidP="00E6045B">
            <w:pPr>
              <w:rPr>
                <w:sz w:val="20"/>
                <w:szCs w:val="20"/>
              </w:rPr>
            </w:pPr>
            <w:r w:rsidRPr="008E2278">
              <w:rPr>
                <w:sz w:val="20"/>
                <w:szCs w:val="20"/>
              </w:rPr>
              <w:t>R0090</w:t>
            </w:r>
          </w:p>
        </w:tc>
        <w:tc>
          <w:tcPr>
            <w:tcW w:w="2785" w:type="dxa"/>
          </w:tcPr>
          <w:p w:rsidR="002F48DE" w:rsidRPr="008E2278" w:rsidRDefault="002F48DE" w:rsidP="00E6045B">
            <w:pPr>
              <w:rPr>
                <w:sz w:val="20"/>
                <w:szCs w:val="20"/>
              </w:rPr>
            </w:pPr>
            <w:r w:rsidRPr="008E2278">
              <w:rPr>
                <w:sz w:val="20"/>
                <w:szCs w:val="20"/>
              </w:rPr>
              <w:t>Impact of volatility adjustment set to zero – SCR</w:t>
            </w:r>
          </w:p>
        </w:tc>
        <w:tc>
          <w:tcPr>
            <w:tcW w:w="4995" w:type="dxa"/>
          </w:tcPr>
          <w:p w:rsidR="002F48DE" w:rsidRPr="008E2278" w:rsidRDefault="002F48DE" w:rsidP="00E6045B">
            <w:pPr>
              <w:rPr>
                <w:sz w:val="20"/>
                <w:szCs w:val="20"/>
              </w:rPr>
            </w:pPr>
            <w:proofErr w:type="gramStart"/>
            <w:r w:rsidRPr="008E2278">
              <w:rPr>
                <w:sz w:val="20"/>
                <w:szCs w:val="20"/>
              </w:rPr>
              <w:t>Amount of the adjustment to the SCR due to the application of the volatility adjustment.</w:t>
            </w:r>
            <w:proofErr w:type="gramEnd"/>
            <w:r w:rsidRPr="008E2278">
              <w:rPr>
                <w:sz w:val="20"/>
                <w:szCs w:val="20"/>
              </w:rPr>
              <w:t xml:space="preserve"> It shall reflect the impact of setting the volatility adjustment to zero.</w:t>
            </w:r>
          </w:p>
          <w:p w:rsidR="002F48DE" w:rsidRPr="008E2278" w:rsidRDefault="002F48DE" w:rsidP="00E6045B">
            <w:pPr>
              <w:rPr>
                <w:sz w:val="20"/>
                <w:szCs w:val="20"/>
              </w:rPr>
            </w:pPr>
          </w:p>
          <w:p w:rsidR="002F48DE" w:rsidRPr="008E2278" w:rsidRDefault="002F48DE" w:rsidP="00E43015">
            <w:pPr>
              <w:rPr>
                <w:sz w:val="20"/>
                <w:szCs w:val="20"/>
              </w:rPr>
            </w:pPr>
            <w:r w:rsidRPr="008E2278">
              <w:rPr>
                <w:sz w:val="20"/>
                <w:szCs w:val="20"/>
              </w:rPr>
              <w:t>It shall be the difference between the SCR considering technical provisions without volatility adjustment and without other transitional measures and the SCR considering technical provisions</w:t>
            </w:r>
            <w:r w:rsidR="00E43015" w:rsidRPr="008E2278">
              <w:rPr>
                <w:sz w:val="20"/>
                <w:szCs w:val="20"/>
              </w:rPr>
              <w:t xml:space="preserve"> </w:t>
            </w:r>
            <w:r w:rsidR="0046473D" w:rsidRPr="008E2278">
              <w:rPr>
                <w:sz w:val="20"/>
                <w:szCs w:val="20"/>
              </w:rPr>
              <w:t>without transitional adjustment to the relevant risk free interest rate term structure</w:t>
            </w:r>
            <w:r w:rsidRPr="008E2278">
              <w:rPr>
                <w:sz w:val="20"/>
                <w:szCs w:val="20"/>
              </w:rPr>
              <w:t xml:space="preserve">. </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S.22.01.C0090/R0090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rPr>
            </w:pPr>
            <w:r w:rsidRPr="008E2278">
              <w:rPr>
                <w:sz w:val="20"/>
                <w:szCs w:val="20"/>
              </w:rPr>
              <w:t>C0090/</w:t>
            </w:r>
          </w:p>
          <w:p w:rsidR="002F48DE" w:rsidRPr="008E2278" w:rsidRDefault="002F48DE" w:rsidP="00E6045B">
            <w:pPr>
              <w:rPr>
                <w:sz w:val="20"/>
                <w:szCs w:val="20"/>
              </w:rPr>
            </w:pPr>
            <w:r w:rsidRPr="008E2278">
              <w:rPr>
                <w:sz w:val="20"/>
                <w:szCs w:val="20"/>
              </w:rPr>
              <w:t>R0090</w:t>
            </w:r>
          </w:p>
        </w:tc>
        <w:tc>
          <w:tcPr>
            <w:tcW w:w="2785" w:type="dxa"/>
          </w:tcPr>
          <w:p w:rsidR="002F48DE" w:rsidRPr="008E2278" w:rsidRDefault="002F48DE" w:rsidP="00E6045B">
            <w:pPr>
              <w:rPr>
                <w:sz w:val="20"/>
                <w:szCs w:val="20"/>
              </w:rPr>
            </w:pPr>
            <w:r w:rsidRPr="008E2278">
              <w:rPr>
                <w:sz w:val="20"/>
                <w:szCs w:val="20"/>
              </w:rPr>
              <w:t xml:space="preserve">Impact of matching adjustment set to zero – SCR </w:t>
            </w:r>
          </w:p>
        </w:tc>
        <w:tc>
          <w:tcPr>
            <w:tcW w:w="4995" w:type="dxa"/>
          </w:tcPr>
          <w:p w:rsidR="002F48DE" w:rsidRPr="008E2278" w:rsidRDefault="002F48DE" w:rsidP="00E6045B">
            <w:pPr>
              <w:rPr>
                <w:sz w:val="20"/>
                <w:szCs w:val="20"/>
              </w:rPr>
            </w:pPr>
            <w:proofErr w:type="gramStart"/>
            <w:r w:rsidRPr="008E2278">
              <w:rPr>
                <w:sz w:val="20"/>
                <w:szCs w:val="20"/>
              </w:rPr>
              <w:t>Amount of the adjustment to the SCR due to the application of the matching adjustment.</w:t>
            </w:r>
            <w:proofErr w:type="gramEnd"/>
            <w:r w:rsidRPr="008E2278">
              <w:rPr>
                <w:sz w:val="20"/>
                <w:szCs w:val="20"/>
              </w:rPr>
              <w:t xml:space="preserve"> It shall include the impact of setting the volatility adjustment and the matching adjustment to zero.</w:t>
            </w:r>
          </w:p>
          <w:p w:rsidR="002F48DE" w:rsidRPr="008E2278" w:rsidRDefault="002F48DE" w:rsidP="00E6045B">
            <w:pPr>
              <w:rPr>
                <w:sz w:val="20"/>
                <w:szCs w:val="20"/>
              </w:rPr>
            </w:pPr>
          </w:p>
          <w:p w:rsidR="002F48DE" w:rsidRPr="008E2278" w:rsidRDefault="002F48DE" w:rsidP="007553F1">
            <w:pPr>
              <w:rPr>
                <w:sz w:val="20"/>
                <w:szCs w:val="20"/>
              </w:rPr>
            </w:pPr>
            <w:r w:rsidRPr="008E2278">
              <w:rPr>
                <w:sz w:val="20"/>
                <w:szCs w:val="20"/>
              </w:rPr>
              <w:t>It shall be the difference between the SCR calculated considering technical provisions without matching adjustment and without all the other transitional measures and the SCR considering technical provisions</w:t>
            </w:r>
            <w:r w:rsidR="007553F1" w:rsidRPr="008E2278">
              <w:rPr>
                <w:sz w:val="20"/>
                <w:szCs w:val="20"/>
              </w:rPr>
              <w:t xml:space="preserve"> </w:t>
            </w:r>
            <w:r w:rsidR="0046473D" w:rsidRPr="008E2278">
              <w:rPr>
                <w:sz w:val="20"/>
                <w:szCs w:val="20"/>
              </w:rPr>
              <w:t>without volatility adjustment and without other transitional measures</w:t>
            </w:r>
            <w:r w:rsidRPr="008E2278">
              <w:rPr>
                <w:sz w:val="20"/>
                <w:szCs w:val="20"/>
              </w:rPr>
              <w:t xml:space="preserve">.  </w:t>
            </w:r>
          </w:p>
        </w:tc>
      </w:tr>
    </w:tbl>
    <w:p w:rsidR="001F33C1" w:rsidRDefault="001F33C1" w:rsidP="006F600D">
      <w:pPr>
        <w:pStyle w:val="ListParagraph"/>
        <w:rPr>
          <w:rFonts w:ascii="Times New Roman" w:hAnsi="Times New Roman"/>
          <w:noProof/>
          <w:color w:val="000000"/>
          <w:sz w:val="24"/>
          <w:lang w:val="en-GB"/>
        </w:rPr>
      </w:pPr>
      <w:r>
        <w:rPr>
          <w:rFonts w:ascii="Times New Roman" w:hAnsi="Times New Roman"/>
          <w:noProof/>
          <w:color w:val="000000"/>
          <w:sz w:val="24"/>
          <w:lang w:val="en-GB"/>
        </w:rPr>
        <w:t>;</w:t>
      </w:r>
    </w:p>
    <w:p w:rsidR="002F48DE" w:rsidRPr="00CD6D0B" w:rsidRDefault="002F48DE" w:rsidP="00CD6D0B">
      <w:pPr>
        <w:pStyle w:val="ListParagraph"/>
        <w:numPr>
          <w:ilvl w:val="0"/>
          <w:numId w:val="147"/>
        </w:numPr>
        <w:ind w:left="709"/>
        <w:rPr>
          <w:rFonts w:ascii="Times New Roman" w:hAnsi="Times New Roman"/>
          <w:noProof/>
          <w:sz w:val="24"/>
          <w:lang w:val="en-GB"/>
        </w:rPr>
      </w:pPr>
      <w:r w:rsidRPr="00CD6D0B">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CD6D0B">
        <w:rPr>
          <w:rFonts w:ascii="Times New Roman" w:hAnsi="Times New Roman"/>
          <w:noProof/>
          <w:sz w:val="24"/>
          <w:lang w:val="en-GB"/>
        </w:rPr>
        <w:t xml:space="preserve">S.22.01.C0050/R0100 the </w:t>
      </w:r>
      <w:r w:rsidR="00222CCD" w:rsidRPr="00CD6D0B">
        <w:rPr>
          <w:rFonts w:ascii="Times New Roman" w:hAnsi="Times New Roman"/>
          <w:noProof/>
          <w:sz w:val="24"/>
          <w:lang w:val="en-GB"/>
        </w:rPr>
        <w:t>row is</w:t>
      </w:r>
      <w:r w:rsidRPr="00CD6D0B">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lang w:val="en-US"/>
              </w:rPr>
            </w:pPr>
            <w:r w:rsidRPr="008E2278">
              <w:rPr>
                <w:sz w:val="20"/>
                <w:szCs w:val="20"/>
                <w:lang w:val="en-US"/>
              </w:rPr>
              <w:t>C0050/</w:t>
            </w:r>
          </w:p>
          <w:p w:rsidR="002F48DE" w:rsidRPr="008E2278" w:rsidRDefault="002F48DE" w:rsidP="00E6045B">
            <w:pPr>
              <w:rPr>
                <w:sz w:val="20"/>
                <w:szCs w:val="20"/>
                <w:lang w:val="en-US"/>
              </w:rPr>
            </w:pPr>
            <w:r w:rsidRPr="008E2278">
              <w:rPr>
                <w:sz w:val="20"/>
                <w:szCs w:val="20"/>
                <w:lang w:val="en-US"/>
              </w:rPr>
              <w:t>R0100</w:t>
            </w:r>
          </w:p>
        </w:tc>
        <w:tc>
          <w:tcPr>
            <w:tcW w:w="2785" w:type="dxa"/>
          </w:tcPr>
          <w:p w:rsidR="002F48DE" w:rsidRPr="008E2278" w:rsidRDefault="002F48DE" w:rsidP="00E6045B">
            <w:pPr>
              <w:rPr>
                <w:sz w:val="20"/>
                <w:szCs w:val="20"/>
              </w:rPr>
            </w:pPr>
            <w:r w:rsidRPr="008E2278">
              <w:rPr>
                <w:sz w:val="20"/>
                <w:szCs w:val="20"/>
              </w:rPr>
              <w:t xml:space="preserve">Impact of transitional on interest rate – Eligible own funds to meet MCR </w:t>
            </w:r>
          </w:p>
        </w:tc>
        <w:tc>
          <w:tcPr>
            <w:tcW w:w="4995" w:type="dxa"/>
          </w:tcPr>
          <w:p w:rsidR="002F48DE" w:rsidRPr="008E2278" w:rsidRDefault="002F48DE" w:rsidP="00E6045B">
            <w:pPr>
              <w:rPr>
                <w:sz w:val="20"/>
                <w:szCs w:val="20"/>
              </w:rPr>
            </w:pPr>
            <w:proofErr w:type="gramStart"/>
            <w:r w:rsidRPr="008E2278">
              <w:rPr>
                <w:sz w:val="20"/>
                <w:szCs w:val="20"/>
              </w:rPr>
              <w:t>Amount of the adjustment to the Eligible own funds to meet MCR due to the application of the transitional</w:t>
            </w:r>
            <w:r w:rsidR="007553F1" w:rsidRPr="008E2278">
              <w:rPr>
                <w:sz w:val="20"/>
                <w:szCs w:val="20"/>
              </w:rPr>
              <w:t xml:space="preserve"> adjustment to the relevant risk-free interest rate term structure</w:t>
            </w:r>
            <w:r w:rsidRPr="008E2278">
              <w:rPr>
                <w:sz w:val="20"/>
                <w:szCs w:val="20"/>
              </w:rPr>
              <w:t>.</w:t>
            </w:r>
            <w:proofErr w:type="gramEnd"/>
          </w:p>
          <w:p w:rsidR="002F48DE" w:rsidRPr="008E2278" w:rsidRDefault="002F48DE" w:rsidP="00E6045B">
            <w:pPr>
              <w:rPr>
                <w:sz w:val="20"/>
                <w:szCs w:val="20"/>
              </w:rPr>
            </w:pPr>
          </w:p>
          <w:p w:rsidR="002F48DE" w:rsidRPr="008E2278" w:rsidRDefault="002F48DE" w:rsidP="007553F1">
            <w:pPr>
              <w:rPr>
                <w:sz w:val="20"/>
                <w:szCs w:val="20"/>
              </w:rPr>
            </w:pPr>
            <w:r w:rsidRPr="008E2278">
              <w:rPr>
                <w:sz w:val="20"/>
                <w:szCs w:val="20"/>
              </w:rPr>
              <w:t xml:space="preserve">It shall be the difference between the eligible own funds to meet MCR calculated considering technical provisions without transitional </w:t>
            </w:r>
            <w:r w:rsidR="007553F1" w:rsidRPr="008E2278">
              <w:rPr>
                <w:sz w:val="20"/>
                <w:szCs w:val="20"/>
              </w:rPr>
              <w:t xml:space="preserve">adjustment to the relevant risk-free interest rate term structure </w:t>
            </w:r>
            <w:r w:rsidRPr="008E2278">
              <w:rPr>
                <w:sz w:val="20"/>
                <w:szCs w:val="20"/>
              </w:rPr>
              <w:t>and the technical provisions</w:t>
            </w:r>
            <w:r w:rsidR="007553F1" w:rsidRPr="008E2278">
              <w:rPr>
                <w:sz w:val="20"/>
                <w:szCs w:val="20"/>
              </w:rPr>
              <w:t xml:space="preserve"> </w:t>
            </w:r>
            <w:r w:rsidR="0046473D" w:rsidRPr="008E2278">
              <w:rPr>
                <w:sz w:val="20"/>
                <w:szCs w:val="20"/>
              </w:rPr>
              <w:t>without transitional on technical provisions</w:t>
            </w:r>
            <w:r w:rsidRPr="008E2278">
              <w:rPr>
                <w:sz w:val="20"/>
                <w:szCs w:val="20"/>
              </w:rPr>
              <w:t>.</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S.22.01.C0070/R0100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rPr>
            </w:pPr>
            <w:r w:rsidRPr="008E2278">
              <w:rPr>
                <w:sz w:val="20"/>
                <w:szCs w:val="20"/>
              </w:rPr>
              <w:t>C0070/</w:t>
            </w:r>
          </w:p>
          <w:p w:rsidR="002F48DE" w:rsidRPr="008E2278" w:rsidRDefault="002F48DE" w:rsidP="00E6045B">
            <w:pPr>
              <w:rPr>
                <w:sz w:val="20"/>
                <w:szCs w:val="20"/>
              </w:rPr>
            </w:pPr>
            <w:r w:rsidRPr="008E2278">
              <w:rPr>
                <w:sz w:val="20"/>
                <w:szCs w:val="20"/>
              </w:rPr>
              <w:t>R0100</w:t>
            </w:r>
          </w:p>
        </w:tc>
        <w:tc>
          <w:tcPr>
            <w:tcW w:w="2785" w:type="dxa"/>
          </w:tcPr>
          <w:p w:rsidR="002F48DE" w:rsidRPr="008E2278" w:rsidRDefault="002F48DE" w:rsidP="00E6045B">
            <w:pPr>
              <w:rPr>
                <w:sz w:val="20"/>
                <w:szCs w:val="20"/>
              </w:rPr>
            </w:pPr>
            <w:r w:rsidRPr="008E2278">
              <w:rPr>
                <w:sz w:val="20"/>
                <w:szCs w:val="20"/>
              </w:rPr>
              <w:t>Impact of volatility adjustment set to zero – Eligible own funds to meet MCR</w:t>
            </w:r>
          </w:p>
        </w:tc>
        <w:tc>
          <w:tcPr>
            <w:tcW w:w="4995" w:type="dxa"/>
          </w:tcPr>
          <w:p w:rsidR="002F48DE" w:rsidRPr="008E2278" w:rsidRDefault="002F48DE" w:rsidP="00E6045B">
            <w:pPr>
              <w:rPr>
                <w:sz w:val="20"/>
                <w:szCs w:val="20"/>
              </w:rPr>
            </w:pPr>
            <w:proofErr w:type="gramStart"/>
            <w:r w:rsidRPr="008E2278">
              <w:rPr>
                <w:sz w:val="20"/>
                <w:szCs w:val="20"/>
              </w:rPr>
              <w:t>Amount of the adjustment to the Eligible own funds to meet MCR due to the application of the volatility adjustment.</w:t>
            </w:r>
            <w:proofErr w:type="gramEnd"/>
            <w:r w:rsidRPr="008E2278">
              <w:rPr>
                <w:sz w:val="20"/>
                <w:szCs w:val="20"/>
              </w:rPr>
              <w:t xml:space="preserve"> It shall reflect the impact of setting the volatility adjustment to zero</w:t>
            </w:r>
          </w:p>
          <w:p w:rsidR="002F48DE" w:rsidRPr="008E2278" w:rsidRDefault="002F48DE" w:rsidP="00E6045B">
            <w:pPr>
              <w:rPr>
                <w:sz w:val="20"/>
                <w:szCs w:val="20"/>
              </w:rPr>
            </w:pPr>
          </w:p>
          <w:p w:rsidR="002F48DE" w:rsidRPr="008E2278" w:rsidRDefault="002F48DE" w:rsidP="000669B6">
            <w:pPr>
              <w:rPr>
                <w:sz w:val="20"/>
                <w:szCs w:val="20"/>
              </w:rPr>
            </w:pPr>
            <w:r w:rsidRPr="008E2278">
              <w:rPr>
                <w:sz w:val="20"/>
                <w:szCs w:val="20"/>
              </w:rPr>
              <w:t xml:space="preserve">It shall be the difference between the eligible own funds to meet MCR considering technical provisions without volatility adjustment and without other transitional measures and the eligible own funds to meet MCR considering technical provisions </w:t>
            </w:r>
            <w:r w:rsidR="0046473D" w:rsidRPr="008E2278">
              <w:rPr>
                <w:sz w:val="20"/>
                <w:szCs w:val="20"/>
              </w:rPr>
              <w:t>without transitional adjustment to the relevant risk free interest rate term structure</w:t>
            </w:r>
            <w:r w:rsidRPr="008E2278">
              <w:rPr>
                <w:sz w:val="20"/>
                <w:szCs w:val="20"/>
              </w:rPr>
              <w:t xml:space="preserve">. </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S.22.01.C0090/R0100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rPr>
            </w:pPr>
            <w:r w:rsidRPr="008E2278">
              <w:rPr>
                <w:sz w:val="20"/>
                <w:szCs w:val="20"/>
              </w:rPr>
              <w:t>C0090/</w:t>
            </w:r>
          </w:p>
          <w:p w:rsidR="002F48DE" w:rsidRPr="008E2278" w:rsidRDefault="002F48DE" w:rsidP="00E6045B">
            <w:pPr>
              <w:rPr>
                <w:sz w:val="20"/>
                <w:szCs w:val="20"/>
              </w:rPr>
            </w:pPr>
            <w:r w:rsidRPr="008E2278">
              <w:rPr>
                <w:sz w:val="20"/>
                <w:szCs w:val="20"/>
              </w:rPr>
              <w:t>R0100</w:t>
            </w:r>
          </w:p>
        </w:tc>
        <w:tc>
          <w:tcPr>
            <w:tcW w:w="2785" w:type="dxa"/>
          </w:tcPr>
          <w:p w:rsidR="002F48DE" w:rsidRPr="008E2278" w:rsidRDefault="002F48DE" w:rsidP="00E6045B">
            <w:pPr>
              <w:rPr>
                <w:sz w:val="20"/>
                <w:szCs w:val="20"/>
              </w:rPr>
            </w:pPr>
            <w:r w:rsidRPr="008E2278">
              <w:rPr>
                <w:sz w:val="20"/>
                <w:szCs w:val="20"/>
              </w:rPr>
              <w:t xml:space="preserve">Impact of matching adjustment set to zero – Eligible own funds to meet MCR </w:t>
            </w:r>
          </w:p>
        </w:tc>
        <w:tc>
          <w:tcPr>
            <w:tcW w:w="4995" w:type="dxa"/>
          </w:tcPr>
          <w:p w:rsidR="002F48DE" w:rsidRPr="008E2278" w:rsidRDefault="002F48DE" w:rsidP="00E6045B">
            <w:pPr>
              <w:rPr>
                <w:sz w:val="20"/>
                <w:szCs w:val="20"/>
              </w:rPr>
            </w:pPr>
            <w:proofErr w:type="gramStart"/>
            <w:r w:rsidRPr="008E2278">
              <w:rPr>
                <w:sz w:val="20"/>
                <w:szCs w:val="20"/>
              </w:rPr>
              <w:t>Amount of the adjustment to the Eligible own funds to meet MCR due to the application of the matching adjustment.</w:t>
            </w:r>
            <w:proofErr w:type="gramEnd"/>
            <w:r w:rsidRPr="008E2278">
              <w:rPr>
                <w:sz w:val="20"/>
                <w:szCs w:val="20"/>
              </w:rPr>
              <w:t xml:space="preserve"> It shall include the impact of setting the volatility adjustment and the matching adjustment to zero.</w:t>
            </w:r>
          </w:p>
          <w:p w:rsidR="002F48DE" w:rsidRPr="008E2278" w:rsidRDefault="002F48DE" w:rsidP="00E6045B">
            <w:pPr>
              <w:rPr>
                <w:sz w:val="20"/>
                <w:szCs w:val="20"/>
              </w:rPr>
            </w:pPr>
          </w:p>
          <w:p w:rsidR="002F48DE" w:rsidRPr="008E2278" w:rsidRDefault="002F48DE" w:rsidP="000669B6">
            <w:pPr>
              <w:rPr>
                <w:sz w:val="20"/>
                <w:szCs w:val="20"/>
              </w:rPr>
            </w:pPr>
            <w:r w:rsidRPr="008E2278">
              <w:rPr>
                <w:sz w:val="20"/>
                <w:szCs w:val="20"/>
              </w:rPr>
              <w:t>It shall be the difference between the eligible own funds to meet MCR calculated  considering technical provisions without matching adjustment and without all the other transitional measures and the eligible own funds to meet MCR considering technical provisions</w:t>
            </w:r>
            <w:r w:rsidR="000669B6" w:rsidRPr="008E2278">
              <w:rPr>
                <w:sz w:val="20"/>
                <w:szCs w:val="20"/>
              </w:rPr>
              <w:t xml:space="preserve"> </w:t>
            </w:r>
            <w:r w:rsidR="0046473D" w:rsidRPr="008E2278">
              <w:rPr>
                <w:sz w:val="20"/>
                <w:szCs w:val="20"/>
              </w:rPr>
              <w:t>without volatility adjustment and without other transitional measures</w:t>
            </w:r>
            <w:r w:rsidRPr="008E2278">
              <w:rPr>
                <w:sz w:val="20"/>
                <w:szCs w:val="20"/>
              </w:rPr>
              <w:t xml:space="preserve">.  </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S.22.01.C0050/R0110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lang w:val="en-US"/>
              </w:rPr>
            </w:pPr>
            <w:r w:rsidRPr="008E2278">
              <w:rPr>
                <w:sz w:val="20"/>
                <w:szCs w:val="20"/>
                <w:lang w:val="en-US"/>
              </w:rPr>
              <w:t>C0050/</w:t>
            </w:r>
          </w:p>
          <w:p w:rsidR="002F48DE" w:rsidRPr="008E2278" w:rsidRDefault="002F48DE" w:rsidP="00E6045B">
            <w:pPr>
              <w:rPr>
                <w:sz w:val="20"/>
                <w:szCs w:val="20"/>
                <w:lang w:val="en-US"/>
              </w:rPr>
            </w:pPr>
            <w:r w:rsidRPr="008E2278">
              <w:rPr>
                <w:sz w:val="20"/>
                <w:szCs w:val="20"/>
                <w:lang w:val="en-US"/>
              </w:rPr>
              <w:t>R0110</w:t>
            </w:r>
          </w:p>
        </w:tc>
        <w:tc>
          <w:tcPr>
            <w:tcW w:w="2785" w:type="dxa"/>
          </w:tcPr>
          <w:p w:rsidR="002F48DE" w:rsidRPr="008E2278" w:rsidRDefault="002F48DE" w:rsidP="00E6045B">
            <w:pPr>
              <w:rPr>
                <w:sz w:val="20"/>
                <w:szCs w:val="20"/>
              </w:rPr>
            </w:pPr>
            <w:r w:rsidRPr="008E2278">
              <w:rPr>
                <w:sz w:val="20"/>
                <w:szCs w:val="20"/>
              </w:rPr>
              <w:t xml:space="preserve">Impact of transitional on interest rate – Minimum Capital Requirement </w:t>
            </w:r>
          </w:p>
        </w:tc>
        <w:tc>
          <w:tcPr>
            <w:tcW w:w="4995" w:type="dxa"/>
          </w:tcPr>
          <w:p w:rsidR="002F48DE" w:rsidRPr="008E2278" w:rsidRDefault="002F48DE" w:rsidP="00E6045B">
            <w:pPr>
              <w:rPr>
                <w:sz w:val="20"/>
                <w:szCs w:val="20"/>
              </w:rPr>
            </w:pPr>
            <w:proofErr w:type="gramStart"/>
            <w:r w:rsidRPr="008E2278">
              <w:rPr>
                <w:sz w:val="20"/>
                <w:szCs w:val="20"/>
              </w:rPr>
              <w:t>Amount of the adjustment to the MCR due to the application of the transitional</w:t>
            </w:r>
            <w:r w:rsidR="008B44B7" w:rsidRPr="008E2278">
              <w:rPr>
                <w:sz w:val="20"/>
                <w:szCs w:val="20"/>
              </w:rPr>
              <w:t xml:space="preserve"> adjustment to the relevant risk-free interest rate term structure.</w:t>
            </w:r>
            <w:proofErr w:type="gramEnd"/>
          </w:p>
          <w:p w:rsidR="002F48DE" w:rsidRPr="008E2278" w:rsidRDefault="002F48DE" w:rsidP="00E6045B">
            <w:pPr>
              <w:rPr>
                <w:sz w:val="20"/>
                <w:szCs w:val="20"/>
              </w:rPr>
            </w:pPr>
          </w:p>
          <w:p w:rsidR="002F48DE" w:rsidRPr="008E2278" w:rsidRDefault="002F48DE" w:rsidP="008B44B7">
            <w:pPr>
              <w:rPr>
                <w:sz w:val="20"/>
                <w:szCs w:val="20"/>
              </w:rPr>
            </w:pPr>
            <w:r w:rsidRPr="008E2278">
              <w:rPr>
                <w:sz w:val="20"/>
                <w:szCs w:val="20"/>
              </w:rPr>
              <w:t>It shall be the difference between the MCR calculated considering technical provisions without transitional</w:t>
            </w:r>
            <w:r w:rsidR="008B44B7" w:rsidRPr="008E2278">
              <w:rPr>
                <w:sz w:val="20"/>
                <w:szCs w:val="20"/>
              </w:rPr>
              <w:t xml:space="preserve"> adjustment to the relevant risk-free interest rate term structure</w:t>
            </w:r>
            <w:r w:rsidRPr="008E2278">
              <w:rPr>
                <w:sz w:val="20"/>
                <w:szCs w:val="20"/>
              </w:rPr>
              <w:t xml:space="preserve"> and the technical provisions </w:t>
            </w:r>
            <w:r w:rsidR="0046473D" w:rsidRPr="008E2278">
              <w:rPr>
                <w:sz w:val="20"/>
                <w:szCs w:val="20"/>
              </w:rPr>
              <w:t>without transitional on technical provisions</w:t>
            </w:r>
            <w:r w:rsidRPr="008E2278">
              <w:rPr>
                <w:sz w:val="20"/>
                <w:szCs w:val="20"/>
              </w:rPr>
              <w:t>.</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S.22.01.C0070/R0110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rPr>
            </w:pPr>
            <w:r w:rsidRPr="008E2278">
              <w:rPr>
                <w:sz w:val="20"/>
                <w:szCs w:val="20"/>
              </w:rPr>
              <w:t>C0070/</w:t>
            </w:r>
          </w:p>
          <w:p w:rsidR="002F48DE" w:rsidRPr="008E2278" w:rsidRDefault="002F48DE" w:rsidP="00E6045B">
            <w:pPr>
              <w:rPr>
                <w:sz w:val="20"/>
                <w:szCs w:val="20"/>
              </w:rPr>
            </w:pPr>
            <w:r w:rsidRPr="008E2278">
              <w:rPr>
                <w:sz w:val="20"/>
                <w:szCs w:val="20"/>
              </w:rPr>
              <w:t>R0110</w:t>
            </w:r>
          </w:p>
        </w:tc>
        <w:tc>
          <w:tcPr>
            <w:tcW w:w="2785" w:type="dxa"/>
          </w:tcPr>
          <w:p w:rsidR="002F48DE" w:rsidRPr="008E2278" w:rsidRDefault="002F48DE" w:rsidP="00E6045B">
            <w:pPr>
              <w:rPr>
                <w:sz w:val="20"/>
                <w:szCs w:val="20"/>
              </w:rPr>
            </w:pPr>
            <w:r w:rsidRPr="008E2278">
              <w:rPr>
                <w:sz w:val="20"/>
                <w:szCs w:val="20"/>
              </w:rPr>
              <w:t>Impact of volatility adjustment set to zero – Minimum Capital Requirement</w:t>
            </w:r>
          </w:p>
        </w:tc>
        <w:tc>
          <w:tcPr>
            <w:tcW w:w="4995" w:type="dxa"/>
          </w:tcPr>
          <w:p w:rsidR="002F48DE" w:rsidRPr="008E2278" w:rsidRDefault="002F48DE" w:rsidP="00E6045B">
            <w:pPr>
              <w:rPr>
                <w:sz w:val="20"/>
                <w:szCs w:val="20"/>
              </w:rPr>
            </w:pPr>
            <w:proofErr w:type="gramStart"/>
            <w:r w:rsidRPr="008E2278">
              <w:rPr>
                <w:sz w:val="20"/>
                <w:szCs w:val="20"/>
              </w:rPr>
              <w:t>Amount of the adjustment to the MCR due to the application of the volatility adjustment.</w:t>
            </w:r>
            <w:proofErr w:type="gramEnd"/>
            <w:r w:rsidRPr="008E2278">
              <w:rPr>
                <w:sz w:val="20"/>
                <w:szCs w:val="20"/>
              </w:rPr>
              <w:t xml:space="preserve"> It shall reflect the impact of setting the volatility adjustment to zero.</w:t>
            </w:r>
          </w:p>
          <w:p w:rsidR="002F48DE" w:rsidRPr="008E2278" w:rsidRDefault="002F48DE" w:rsidP="00E6045B">
            <w:pPr>
              <w:rPr>
                <w:sz w:val="20"/>
                <w:szCs w:val="20"/>
              </w:rPr>
            </w:pPr>
          </w:p>
          <w:p w:rsidR="002F48DE" w:rsidRPr="008E2278" w:rsidRDefault="002F48DE" w:rsidP="005B0E1C">
            <w:pPr>
              <w:rPr>
                <w:sz w:val="20"/>
                <w:szCs w:val="20"/>
              </w:rPr>
            </w:pPr>
            <w:r w:rsidRPr="008E2278">
              <w:rPr>
                <w:sz w:val="20"/>
                <w:szCs w:val="20"/>
              </w:rPr>
              <w:t xml:space="preserve">It shall be the difference between the MCR considering technical provisions without volatility adjustment and without other transitional measures and the MCR considering technical provisions </w:t>
            </w:r>
            <w:r w:rsidR="0046473D" w:rsidRPr="008E2278">
              <w:rPr>
                <w:sz w:val="20"/>
                <w:szCs w:val="20"/>
              </w:rPr>
              <w:t>without transitional adjustment to the relevant risk free interest rate term structure</w:t>
            </w:r>
            <w:r w:rsidRPr="008E2278">
              <w:rPr>
                <w:sz w:val="20"/>
                <w:szCs w:val="20"/>
              </w:rPr>
              <w:t xml:space="preserve">. </w:t>
            </w:r>
          </w:p>
        </w:tc>
      </w:tr>
    </w:tbl>
    <w:p w:rsidR="001F33C1" w:rsidRDefault="001F33C1" w:rsidP="006F600D">
      <w:pPr>
        <w:pStyle w:val="ListParagraph"/>
        <w:rPr>
          <w:rFonts w:ascii="Times New Roman" w:hAnsi="Times New Roman"/>
          <w:noProof/>
          <w:sz w:val="24"/>
          <w:lang w:val="en-GB"/>
        </w:rPr>
      </w:pPr>
      <w:r>
        <w:rPr>
          <w:rFonts w:ascii="Times New Roman" w:hAnsi="Times New Roman"/>
          <w:noProof/>
          <w:sz w:val="24"/>
          <w:lang w:val="en-GB"/>
        </w:rPr>
        <w:t>;</w:t>
      </w:r>
    </w:p>
    <w:p w:rsidR="002F48DE" w:rsidRPr="008E2278" w:rsidRDefault="002F48DE"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 xml:space="preserve">S.22.01.C0090/R0110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Style w:val="TableGrid"/>
        <w:tblW w:w="8647" w:type="dxa"/>
        <w:tblInd w:w="817" w:type="dxa"/>
        <w:tblLayout w:type="fixed"/>
        <w:tblLook w:val="04A0" w:firstRow="1" w:lastRow="0" w:firstColumn="1" w:lastColumn="0" w:noHBand="0" w:noVBand="1"/>
      </w:tblPr>
      <w:tblGrid>
        <w:gridCol w:w="867"/>
        <w:gridCol w:w="2785"/>
        <w:gridCol w:w="4995"/>
      </w:tblGrid>
      <w:tr w:rsidR="008E2278" w:rsidRPr="008E2278" w:rsidTr="0022365E">
        <w:tc>
          <w:tcPr>
            <w:tcW w:w="867" w:type="dxa"/>
          </w:tcPr>
          <w:p w:rsidR="002F48DE" w:rsidRPr="008E2278" w:rsidRDefault="002F48DE" w:rsidP="00E6045B">
            <w:pPr>
              <w:rPr>
                <w:sz w:val="20"/>
                <w:szCs w:val="20"/>
              </w:rPr>
            </w:pPr>
            <w:r w:rsidRPr="008E2278">
              <w:rPr>
                <w:sz w:val="20"/>
                <w:szCs w:val="20"/>
              </w:rPr>
              <w:t>C0090/</w:t>
            </w:r>
          </w:p>
          <w:p w:rsidR="002F48DE" w:rsidRPr="008E2278" w:rsidRDefault="002F48DE" w:rsidP="00E6045B">
            <w:pPr>
              <w:rPr>
                <w:sz w:val="20"/>
                <w:szCs w:val="20"/>
              </w:rPr>
            </w:pPr>
            <w:r w:rsidRPr="008E2278">
              <w:rPr>
                <w:sz w:val="20"/>
                <w:szCs w:val="20"/>
              </w:rPr>
              <w:t>R0110</w:t>
            </w:r>
          </w:p>
        </w:tc>
        <w:tc>
          <w:tcPr>
            <w:tcW w:w="2785" w:type="dxa"/>
          </w:tcPr>
          <w:p w:rsidR="002F48DE" w:rsidRPr="008E2278" w:rsidRDefault="002F48DE" w:rsidP="00E6045B">
            <w:pPr>
              <w:rPr>
                <w:sz w:val="20"/>
                <w:szCs w:val="20"/>
              </w:rPr>
            </w:pPr>
            <w:r w:rsidRPr="008E2278">
              <w:rPr>
                <w:sz w:val="20"/>
                <w:szCs w:val="20"/>
              </w:rPr>
              <w:t xml:space="preserve">Impact of matching adjustment set to zero – Minimum Capital Requirement </w:t>
            </w:r>
          </w:p>
        </w:tc>
        <w:tc>
          <w:tcPr>
            <w:tcW w:w="4995" w:type="dxa"/>
          </w:tcPr>
          <w:p w:rsidR="002F48DE" w:rsidRPr="008E2278" w:rsidRDefault="002F48DE" w:rsidP="00E6045B">
            <w:pPr>
              <w:rPr>
                <w:sz w:val="20"/>
                <w:szCs w:val="20"/>
              </w:rPr>
            </w:pPr>
            <w:proofErr w:type="gramStart"/>
            <w:r w:rsidRPr="008E2278">
              <w:rPr>
                <w:sz w:val="20"/>
                <w:szCs w:val="20"/>
              </w:rPr>
              <w:t>Amount of the adjustment to the MCR due to the application of the matching adjustment.</w:t>
            </w:r>
            <w:proofErr w:type="gramEnd"/>
            <w:r w:rsidRPr="008E2278">
              <w:rPr>
                <w:sz w:val="20"/>
                <w:szCs w:val="20"/>
              </w:rPr>
              <w:t xml:space="preserve"> It shall include the impact of setting the volatility adjustment and the matching adjustment to zero.</w:t>
            </w:r>
          </w:p>
          <w:p w:rsidR="002F48DE" w:rsidRPr="008E2278" w:rsidRDefault="002F48DE" w:rsidP="00E6045B">
            <w:pPr>
              <w:rPr>
                <w:sz w:val="20"/>
                <w:szCs w:val="20"/>
              </w:rPr>
            </w:pPr>
          </w:p>
          <w:p w:rsidR="002F48DE" w:rsidRPr="008E2278" w:rsidRDefault="002F48DE" w:rsidP="00A956E8">
            <w:pPr>
              <w:rPr>
                <w:sz w:val="20"/>
                <w:szCs w:val="20"/>
              </w:rPr>
            </w:pPr>
            <w:r w:rsidRPr="008E2278">
              <w:rPr>
                <w:sz w:val="20"/>
                <w:szCs w:val="20"/>
              </w:rPr>
              <w:t xml:space="preserve">It shall be the difference between the MCR calculated considering technical provisions without matching adjustment and without all the other transitional measures and the MCR considering technical </w:t>
            </w:r>
            <w:r w:rsidR="0046473D" w:rsidRPr="008E2278">
              <w:rPr>
                <w:sz w:val="20"/>
                <w:szCs w:val="20"/>
              </w:rPr>
              <w:t>without volatility adjustment and without other transitional measures</w:t>
            </w:r>
            <w:r w:rsidRPr="008E2278">
              <w:rPr>
                <w:sz w:val="20"/>
                <w:szCs w:val="20"/>
              </w:rPr>
              <w:t>.</w:t>
            </w:r>
          </w:p>
        </w:tc>
      </w:tr>
    </w:tbl>
    <w:p w:rsidR="001F33C1" w:rsidRDefault="001F33C1" w:rsidP="006F600D">
      <w:pPr>
        <w:pStyle w:val="ListParagraph"/>
        <w:spacing w:after="200" w:line="276" w:lineRule="auto"/>
        <w:jc w:val="both"/>
        <w:rPr>
          <w:rFonts w:ascii="Times New Roman" w:hAnsi="Times New Roman"/>
          <w:sz w:val="24"/>
          <w:lang w:val="en-GB"/>
        </w:rPr>
      </w:pPr>
      <w:r>
        <w:rPr>
          <w:rFonts w:ascii="Times New Roman" w:hAnsi="Times New Roman"/>
          <w:sz w:val="24"/>
          <w:lang w:val="en-GB"/>
        </w:rPr>
        <w:t>;</w:t>
      </w:r>
    </w:p>
    <w:p w:rsidR="006B71F9" w:rsidRPr="008E2278" w:rsidRDefault="006B71F9"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template</w:t>
      </w:r>
      <w:r w:rsidR="00A049A5">
        <w:rPr>
          <w:rFonts w:ascii="Times New Roman" w:hAnsi="Times New Roman"/>
          <w:noProof/>
          <w:sz w:val="24"/>
          <w:lang w:val="en-GB"/>
        </w:rPr>
        <w:t xml:space="preserve"> </w:t>
      </w:r>
      <w:r w:rsidRPr="008E2278">
        <w:rPr>
          <w:rFonts w:ascii="Times New Roman" w:hAnsi="Times New Roman"/>
          <w:noProof/>
          <w:sz w:val="24"/>
          <w:lang w:val="en-GB"/>
        </w:rPr>
        <w:t>S.25.01</w:t>
      </w:r>
      <w:r w:rsidR="00737B17" w:rsidRPr="008E2278">
        <w:rPr>
          <w:rFonts w:ascii="Times New Roman" w:hAnsi="Times New Roman"/>
          <w:noProof/>
          <w:sz w:val="24"/>
          <w:lang w:val="en-GB"/>
        </w:rPr>
        <w:t xml:space="preserve"> and S.25.02 references to C008</w:t>
      </w:r>
      <w:r w:rsidRPr="008E2278">
        <w:rPr>
          <w:rFonts w:ascii="Times New Roman" w:hAnsi="Times New Roman"/>
          <w:noProof/>
          <w:sz w:val="24"/>
          <w:lang w:val="en-GB"/>
        </w:rPr>
        <w:t>0</w:t>
      </w:r>
      <w:r w:rsidR="00737B17" w:rsidRPr="008E2278">
        <w:rPr>
          <w:rFonts w:ascii="Times New Roman" w:hAnsi="Times New Roman"/>
          <w:noProof/>
          <w:sz w:val="24"/>
          <w:lang w:val="en-GB"/>
        </w:rPr>
        <w:t xml:space="preserve"> are replaced by C0090 and references to C0090 are replaced by C0120</w:t>
      </w:r>
      <w:r w:rsidRPr="008E2278">
        <w:rPr>
          <w:rFonts w:ascii="Times New Roman" w:hAnsi="Times New Roman"/>
          <w:noProof/>
          <w:sz w:val="24"/>
          <w:lang w:val="en-GB"/>
        </w:rPr>
        <w:t>;</w:t>
      </w:r>
    </w:p>
    <w:p w:rsidR="006B71F9" w:rsidRPr="008E2278" w:rsidRDefault="006B71F9" w:rsidP="00573FCD">
      <w:pPr>
        <w:pStyle w:val="ListParagraph"/>
        <w:rPr>
          <w:rFonts w:ascii="Times New Roman" w:hAnsi="Times New Roman"/>
          <w:noProof/>
          <w:sz w:val="24"/>
          <w:lang w:val="en-GB"/>
        </w:rPr>
      </w:pPr>
    </w:p>
    <w:p w:rsidR="003D4502" w:rsidRPr="008E2278" w:rsidRDefault="003D4502" w:rsidP="00CD6D0B">
      <w:pPr>
        <w:pStyle w:val="ListParagraph"/>
        <w:numPr>
          <w:ilvl w:val="0"/>
          <w:numId w:val="147"/>
        </w:numPr>
        <w:ind w:left="709"/>
        <w:rPr>
          <w:rFonts w:ascii="Times New Roman" w:hAnsi="Times New Roman"/>
          <w:noProof/>
          <w:sz w:val="24"/>
          <w:lang w:val="en-GB"/>
        </w:rPr>
      </w:pPr>
      <w:r w:rsidRPr="008E2278">
        <w:rPr>
          <w:rFonts w:ascii="Times New Roman" w:hAnsi="Times New Roman"/>
          <w:noProof/>
          <w:sz w:val="24"/>
          <w:lang w:val="en-GB"/>
        </w:rPr>
        <w:t xml:space="preserve">In </w:t>
      </w:r>
      <w:r w:rsidR="00222CCD">
        <w:rPr>
          <w:rFonts w:ascii="Times New Roman" w:hAnsi="Times New Roman"/>
          <w:noProof/>
          <w:sz w:val="24"/>
          <w:lang w:val="en-GB"/>
        </w:rPr>
        <w:t xml:space="preserve">template </w:t>
      </w:r>
      <w:r w:rsidRPr="008E2278">
        <w:rPr>
          <w:rFonts w:ascii="Times New Roman" w:hAnsi="Times New Roman"/>
          <w:noProof/>
          <w:sz w:val="24"/>
          <w:lang w:val="en-GB"/>
        </w:rPr>
        <w:t xml:space="preserve">S.25.02.C0030 the </w:t>
      </w:r>
      <w:r w:rsidR="00222CCD">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779" w:type="dxa"/>
        <w:tblCellMar>
          <w:left w:w="70" w:type="dxa"/>
          <w:right w:w="70" w:type="dxa"/>
        </w:tblCellMar>
        <w:tblLook w:val="04A0" w:firstRow="1" w:lastRow="0" w:firstColumn="1" w:lastColumn="0" w:noHBand="0" w:noVBand="1"/>
      </w:tblPr>
      <w:tblGrid>
        <w:gridCol w:w="1458"/>
        <w:gridCol w:w="2621"/>
        <w:gridCol w:w="4568"/>
      </w:tblGrid>
      <w:tr w:rsidR="008E2278" w:rsidRPr="008E2278" w:rsidTr="0022365E">
        <w:trPr>
          <w:trHeight w:val="826"/>
        </w:trPr>
        <w:tc>
          <w:tcPr>
            <w:tcW w:w="1458" w:type="dxa"/>
            <w:tcBorders>
              <w:top w:val="single" w:sz="4" w:space="0" w:color="auto"/>
              <w:left w:val="single" w:sz="4" w:space="0" w:color="auto"/>
              <w:bottom w:val="single" w:sz="4" w:space="0" w:color="auto"/>
              <w:right w:val="single" w:sz="4" w:space="0" w:color="auto"/>
            </w:tcBorders>
            <w:shd w:val="clear" w:color="auto" w:fill="auto"/>
          </w:tcPr>
          <w:p w:rsidR="003D4502" w:rsidRPr="008E2278" w:rsidRDefault="003D4502" w:rsidP="00226131">
            <w:pPr>
              <w:rPr>
                <w:rFonts w:eastAsia="Calibri"/>
                <w:sz w:val="20"/>
                <w:szCs w:val="20"/>
                <w:lang w:val="pt-PT" w:eastAsia="en-US"/>
              </w:rPr>
            </w:pPr>
            <w:r w:rsidRPr="008E2278">
              <w:rPr>
                <w:rFonts w:eastAsia="Calibri"/>
                <w:sz w:val="20"/>
                <w:szCs w:val="20"/>
                <w:lang w:val="pt-PT" w:eastAsia="en-US"/>
              </w:rPr>
              <w:t>C0030</w:t>
            </w:r>
          </w:p>
        </w:tc>
        <w:tc>
          <w:tcPr>
            <w:tcW w:w="2621" w:type="dxa"/>
            <w:tcBorders>
              <w:top w:val="single" w:sz="4" w:space="0" w:color="auto"/>
              <w:left w:val="single" w:sz="4" w:space="0" w:color="auto"/>
              <w:bottom w:val="single" w:sz="4" w:space="0" w:color="auto"/>
              <w:right w:val="single" w:sz="4" w:space="0" w:color="auto"/>
            </w:tcBorders>
            <w:shd w:val="clear" w:color="auto" w:fill="auto"/>
            <w:hideMark/>
          </w:tcPr>
          <w:p w:rsidR="003D4502" w:rsidRPr="008E2278" w:rsidRDefault="003D4502" w:rsidP="00226131">
            <w:pPr>
              <w:rPr>
                <w:rFonts w:eastAsia="Calibri"/>
                <w:sz w:val="20"/>
                <w:szCs w:val="20"/>
                <w:lang w:eastAsia="en-US"/>
              </w:rPr>
            </w:pPr>
            <w:r w:rsidRPr="008E2278">
              <w:rPr>
                <w:rFonts w:eastAsia="Calibri"/>
                <w:sz w:val="20"/>
                <w:szCs w:val="20"/>
                <w:lang w:eastAsia="en-US"/>
              </w:rPr>
              <w:t>Calculation of the Solvency Capital Requirement</w:t>
            </w:r>
          </w:p>
        </w:tc>
        <w:tc>
          <w:tcPr>
            <w:tcW w:w="4568" w:type="dxa"/>
            <w:tcBorders>
              <w:top w:val="single" w:sz="4" w:space="0" w:color="auto"/>
              <w:left w:val="nil"/>
              <w:bottom w:val="single" w:sz="4" w:space="0" w:color="auto"/>
              <w:right w:val="single" w:sz="4" w:space="0" w:color="auto"/>
            </w:tcBorders>
            <w:shd w:val="clear" w:color="auto" w:fill="auto"/>
            <w:hideMark/>
          </w:tcPr>
          <w:p w:rsidR="003D4502" w:rsidRPr="008E2278" w:rsidRDefault="003D4502" w:rsidP="00226131">
            <w:pPr>
              <w:rPr>
                <w:rFonts w:eastAsia="Calibri"/>
                <w:sz w:val="20"/>
                <w:szCs w:val="20"/>
                <w:lang w:eastAsia="en-US"/>
              </w:rPr>
            </w:pPr>
            <w:proofErr w:type="gramStart"/>
            <w:r w:rsidRPr="008E2278">
              <w:rPr>
                <w:rFonts w:eastAsia="Calibri"/>
                <w:sz w:val="20"/>
                <w:szCs w:val="20"/>
                <w:lang w:eastAsia="en-US"/>
              </w:rPr>
              <w:t>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roofErr w:type="gramEnd"/>
            <w:r w:rsidRPr="008E2278">
              <w:rPr>
                <w:rFonts w:eastAsia="Calibri"/>
                <w:sz w:val="20"/>
                <w:szCs w:val="20"/>
                <w:lang w:eastAsia="en-US"/>
              </w:rPr>
              <w:t xml:space="preserve"> </w:t>
            </w:r>
          </w:p>
          <w:p w:rsidR="003D4502" w:rsidRPr="008E2278" w:rsidRDefault="003D4502" w:rsidP="00226131">
            <w:pPr>
              <w:rPr>
                <w:rFonts w:eastAsia="Calibri"/>
                <w:sz w:val="20"/>
                <w:szCs w:val="20"/>
                <w:lang w:eastAsia="en-US"/>
              </w:rPr>
            </w:pPr>
          </w:p>
          <w:p w:rsidR="003D4502" w:rsidRPr="008E2278" w:rsidRDefault="003D4502" w:rsidP="00226131">
            <w:pPr>
              <w:rPr>
                <w:rFonts w:eastAsia="Calibri"/>
                <w:sz w:val="20"/>
                <w:szCs w:val="20"/>
                <w:lang w:eastAsia="en-US"/>
              </w:rPr>
            </w:pPr>
            <w:r w:rsidRPr="008E2278">
              <w:rPr>
                <w:rFonts w:eastAsia="Calibri"/>
                <w:sz w:val="20"/>
                <w:szCs w:val="20"/>
                <w:lang w:eastAsia="en-US"/>
              </w:rPr>
              <w:t xml:space="preserve">For the components Loss absorbing capacity of technical provisions and/or deferred taxes when disclosed as a separate component it </w:t>
            </w:r>
            <w:r w:rsidR="009A32AF">
              <w:rPr>
                <w:rFonts w:eastAsia="Calibri"/>
                <w:sz w:val="20"/>
                <w:szCs w:val="20"/>
                <w:lang w:eastAsia="en-US"/>
              </w:rPr>
              <w:t>shall</w:t>
            </w:r>
            <w:r w:rsidRPr="008E2278">
              <w:rPr>
                <w:rFonts w:eastAsia="Calibri"/>
                <w:sz w:val="20"/>
                <w:szCs w:val="20"/>
                <w:lang w:eastAsia="en-US"/>
              </w:rPr>
              <w:t xml:space="preserve"> be the amount of the loss–absorbing capacity (these amounts </w:t>
            </w:r>
            <w:r w:rsidR="009A32AF">
              <w:rPr>
                <w:rFonts w:eastAsia="Calibri"/>
                <w:sz w:val="20"/>
                <w:szCs w:val="20"/>
                <w:lang w:eastAsia="en-US"/>
              </w:rPr>
              <w:t>shall</w:t>
            </w:r>
            <w:r w:rsidRPr="008E2278">
              <w:rPr>
                <w:rFonts w:eastAsia="Calibri"/>
                <w:sz w:val="20"/>
                <w:szCs w:val="20"/>
                <w:lang w:eastAsia="en-US"/>
              </w:rPr>
              <w:t xml:space="preserve"> be disclosed as negative values)</w:t>
            </w:r>
          </w:p>
          <w:p w:rsidR="003D4502" w:rsidRPr="008E2278" w:rsidRDefault="003D4502" w:rsidP="00226131">
            <w:pPr>
              <w:rPr>
                <w:rFonts w:eastAsia="Calibri"/>
                <w:sz w:val="20"/>
                <w:szCs w:val="20"/>
                <w:lang w:eastAsia="en-US"/>
              </w:rPr>
            </w:pPr>
          </w:p>
          <w:p w:rsidR="003D4502" w:rsidRPr="008E2278" w:rsidRDefault="003D4502" w:rsidP="00226131">
            <w:pPr>
              <w:rPr>
                <w:rFonts w:eastAsia="Calibri"/>
                <w:sz w:val="20"/>
                <w:szCs w:val="20"/>
                <w:lang w:eastAsia="en-US"/>
              </w:rPr>
            </w:pPr>
            <w:r w:rsidRPr="008E2278">
              <w:rPr>
                <w:rFonts w:eastAsia="Calibri"/>
                <w:sz w:val="20"/>
                <w:szCs w:val="20"/>
                <w:lang w:eastAsia="en-US"/>
              </w:rPr>
              <w:t xml:space="preserve">For </w:t>
            </w:r>
            <w:proofErr w:type="gramStart"/>
            <w:r w:rsidRPr="008E2278">
              <w:rPr>
                <w:rFonts w:eastAsia="Calibri"/>
                <w:sz w:val="20"/>
                <w:szCs w:val="20"/>
                <w:lang w:eastAsia="en-US"/>
              </w:rPr>
              <w:t>components</w:t>
            </w:r>
            <w:proofErr w:type="gramEnd"/>
            <w:r w:rsidRPr="008E2278">
              <w:rPr>
                <w:rFonts w:eastAsia="Calibri"/>
                <w:sz w:val="20"/>
                <w:szCs w:val="20"/>
                <w:lang w:eastAsia="en-US"/>
              </w:rPr>
              <w:t xml:space="preserve"> calculated using the standard formula this cell represents the gross </w:t>
            </w:r>
            <w:proofErr w:type="spellStart"/>
            <w:r w:rsidRPr="008E2278">
              <w:rPr>
                <w:rFonts w:eastAsia="Calibri"/>
                <w:sz w:val="20"/>
                <w:szCs w:val="20"/>
                <w:lang w:eastAsia="en-US"/>
              </w:rPr>
              <w:t>nSCR</w:t>
            </w:r>
            <w:proofErr w:type="spellEnd"/>
            <w:r w:rsidRPr="008E2278">
              <w:rPr>
                <w:rFonts w:eastAsia="Calibri"/>
                <w:sz w:val="20"/>
                <w:szCs w:val="20"/>
                <w:lang w:eastAsia="en-US"/>
              </w:rPr>
              <w:t xml:space="preserve">. For components calculated using the partial internal model, this represents the value considering the future management actions which are embedded in the calculation, but not those which are modelled as a separate component. </w:t>
            </w:r>
          </w:p>
          <w:p w:rsidR="003D4502" w:rsidRPr="008E2278" w:rsidRDefault="003D4502" w:rsidP="00226131">
            <w:pPr>
              <w:rPr>
                <w:rFonts w:eastAsia="Calibri"/>
                <w:sz w:val="20"/>
                <w:szCs w:val="20"/>
                <w:lang w:eastAsia="en-US"/>
              </w:rPr>
            </w:pPr>
          </w:p>
          <w:p w:rsidR="003D4502" w:rsidRPr="008E2278" w:rsidRDefault="003D4502" w:rsidP="00226131">
            <w:pPr>
              <w:rPr>
                <w:rFonts w:eastAsia="Calibri"/>
                <w:sz w:val="20"/>
                <w:szCs w:val="20"/>
                <w:lang w:eastAsia="en-US"/>
              </w:rPr>
            </w:pPr>
            <w:r w:rsidRPr="008E2278">
              <w:rPr>
                <w:rFonts w:eastAsia="Calibri"/>
                <w:sz w:val="20"/>
                <w:szCs w:val="20"/>
                <w:lang w:eastAsia="en-US"/>
              </w:rPr>
              <w:t xml:space="preserve">This amount shall fully consider diversification effects according to Article 304 of Directive 2009/138/EC where applicable. </w:t>
            </w:r>
          </w:p>
          <w:p w:rsidR="003D4502" w:rsidRPr="008E2278" w:rsidRDefault="003D4502" w:rsidP="00226131">
            <w:pPr>
              <w:rPr>
                <w:rFonts w:eastAsia="Calibri"/>
                <w:sz w:val="20"/>
                <w:szCs w:val="20"/>
                <w:lang w:eastAsia="en-US"/>
              </w:rPr>
            </w:pPr>
          </w:p>
          <w:p w:rsidR="003D4502" w:rsidRPr="008E2278" w:rsidRDefault="003D4502" w:rsidP="00226131">
            <w:pPr>
              <w:rPr>
                <w:rFonts w:eastAsia="Calibri"/>
                <w:sz w:val="20"/>
                <w:szCs w:val="20"/>
                <w:lang w:eastAsia="en-US"/>
              </w:rPr>
            </w:pPr>
            <w:r w:rsidRPr="008E2278">
              <w:rPr>
                <w:rFonts w:eastAsia="Calibri"/>
                <w:sz w:val="20"/>
                <w:szCs w:val="20"/>
                <w:lang w:eastAsia="en-US"/>
              </w:rPr>
              <w:t xml:space="preserve">These cells include the allocation of the adjustment due to the aggregation of the </w:t>
            </w:r>
            <w:proofErr w:type="spellStart"/>
            <w:r w:rsidRPr="008E2278">
              <w:rPr>
                <w:rFonts w:eastAsia="Calibri"/>
                <w:sz w:val="20"/>
                <w:szCs w:val="20"/>
                <w:lang w:eastAsia="en-US"/>
              </w:rPr>
              <w:t>nSCR</w:t>
            </w:r>
            <w:proofErr w:type="spellEnd"/>
            <w:r w:rsidRPr="008E2278">
              <w:rPr>
                <w:rFonts w:eastAsia="Calibri"/>
                <w:sz w:val="20"/>
                <w:szCs w:val="20"/>
                <w:lang w:eastAsia="en-US"/>
              </w:rPr>
              <w:t xml:space="preserve"> of the RFF/MAP at entity level.</w:t>
            </w:r>
          </w:p>
        </w:tc>
      </w:tr>
    </w:tbl>
    <w:p w:rsidR="00D55A83" w:rsidRPr="00F2461A" w:rsidRDefault="00D55A83" w:rsidP="00D55A83">
      <w:pPr>
        <w:pStyle w:val="ListParagraph"/>
        <w:rPr>
          <w:rFonts w:ascii="Times New Roman" w:eastAsia="Times New Roman" w:hAnsi="Times New Roman"/>
          <w:noProof/>
          <w:sz w:val="24"/>
          <w:lang w:val="en-GB" w:eastAsia="en-GB"/>
        </w:rPr>
      </w:pPr>
      <w:r w:rsidRPr="00F2461A">
        <w:rPr>
          <w:rFonts w:ascii="Times New Roman" w:eastAsia="Times New Roman" w:hAnsi="Times New Roman"/>
          <w:noProof/>
          <w:sz w:val="24"/>
          <w:lang w:val="en-GB" w:eastAsia="en-GB"/>
        </w:rPr>
        <w:t>;</w:t>
      </w:r>
    </w:p>
    <w:p w:rsidR="00AE1CC5" w:rsidRPr="00CD6D0B" w:rsidRDefault="00AE1CC5" w:rsidP="00CD6D0B">
      <w:pPr>
        <w:pStyle w:val="ListParagraph"/>
        <w:numPr>
          <w:ilvl w:val="0"/>
          <w:numId w:val="72"/>
        </w:numPr>
        <w:ind w:left="426"/>
        <w:rPr>
          <w:rFonts w:ascii="Times New Roman" w:hAnsi="Times New Roman"/>
          <w:sz w:val="24"/>
          <w:lang w:val="en-GB"/>
        </w:rPr>
      </w:pPr>
      <w:r w:rsidRPr="00CD6D0B">
        <w:rPr>
          <w:rFonts w:ascii="Times New Roman" w:hAnsi="Times New Roman"/>
          <w:sz w:val="24"/>
          <w:lang w:val="en-GB"/>
        </w:rPr>
        <w:t xml:space="preserve">Annex II to Implementing Regulation (EU) 2015/2452 is </w:t>
      </w:r>
      <w:r w:rsidR="00E8408B" w:rsidRPr="00CD6D0B">
        <w:rPr>
          <w:rFonts w:ascii="Times New Roman" w:hAnsi="Times New Roman"/>
          <w:sz w:val="24"/>
          <w:lang w:val="en-GB"/>
        </w:rPr>
        <w:t>corrected</w:t>
      </w:r>
      <w:r w:rsidRPr="00CD6D0B">
        <w:rPr>
          <w:rFonts w:ascii="Times New Roman" w:hAnsi="Times New Roman"/>
          <w:sz w:val="24"/>
          <w:lang w:val="en-GB"/>
        </w:rPr>
        <w:t xml:space="preserve"> as follows:</w:t>
      </w:r>
    </w:p>
    <w:p w:rsidR="00AE1CC5" w:rsidRPr="008E2278" w:rsidRDefault="00AE1CC5" w:rsidP="00AE1CC5">
      <w:pPr>
        <w:pStyle w:val="ListParagraph"/>
        <w:rPr>
          <w:rFonts w:ascii="Times New Roman" w:hAnsi="Times New Roman"/>
          <w:sz w:val="24"/>
          <w:lang w:val="en-GB"/>
        </w:rPr>
      </w:pPr>
    </w:p>
    <w:p w:rsidR="00AE1CC5" w:rsidRPr="00F663D7" w:rsidRDefault="001F0405" w:rsidP="00E6045B">
      <w:pPr>
        <w:pStyle w:val="ListParagraph"/>
        <w:numPr>
          <w:ilvl w:val="0"/>
          <w:numId w:val="137"/>
        </w:numPr>
        <w:rPr>
          <w:rFonts w:ascii="Times New Roman" w:hAnsi="Times New Roman"/>
          <w:noProof/>
          <w:sz w:val="24"/>
          <w:lang w:val="en-GB"/>
        </w:rPr>
      </w:pPr>
      <w:r w:rsidRPr="00F663D7">
        <w:rPr>
          <w:rFonts w:ascii="Times New Roman" w:hAnsi="Times New Roman"/>
          <w:sz w:val="24"/>
          <w:lang w:val="en-GB"/>
        </w:rPr>
        <w:t>In template</w:t>
      </w:r>
      <w:r w:rsidR="00A049A5" w:rsidRPr="00F663D7">
        <w:rPr>
          <w:rFonts w:ascii="Times New Roman" w:hAnsi="Times New Roman"/>
          <w:sz w:val="24"/>
          <w:lang w:val="en-GB"/>
        </w:rPr>
        <w:t xml:space="preserve"> </w:t>
      </w:r>
      <w:r w:rsidR="00AE1CC5" w:rsidRPr="00F663D7">
        <w:rPr>
          <w:rFonts w:ascii="Times New Roman" w:hAnsi="Times New Roman"/>
          <w:noProof/>
          <w:sz w:val="24"/>
          <w:lang w:val="en-GB"/>
        </w:rPr>
        <w:t>S.19.01</w:t>
      </w:r>
      <w:r w:rsidR="00DD2263" w:rsidRPr="00F663D7">
        <w:rPr>
          <w:rFonts w:ascii="Times New Roman" w:hAnsi="Times New Roman"/>
          <w:noProof/>
          <w:sz w:val="24"/>
          <w:lang w:val="en-GB"/>
        </w:rPr>
        <w:t xml:space="preserve">.C0170/R0100 to R0260 </w:t>
      </w:r>
      <w:r w:rsidRPr="00F663D7">
        <w:rPr>
          <w:rFonts w:ascii="Times New Roman" w:hAnsi="Times New Roman"/>
          <w:noProof/>
          <w:sz w:val="24"/>
          <w:lang w:val="en-GB"/>
        </w:rPr>
        <w:t xml:space="preserve">the row is </w:t>
      </w:r>
      <w:r w:rsidR="00AE1CC5" w:rsidRPr="00F663D7">
        <w:rPr>
          <w:rFonts w:ascii="Times New Roman" w:hAnsi="Times New Roman"/>
          <w:noProof/>
          <w:sz w:val="24"/>
          <w:lang w:val="en-GB"/>
        </w:rPr>
        <w:t>replaced by the following:</w:t>
      </w:r>
    </w:p>
    <w:tbl>
      <w:tblPr>
        <w:tblStyle w:val="TableGrid"/>
        <w:tblW w:w="8647" w:type="dxa"/>
        <w:tblInd w:w="817" w:type="dxa"/>
        <w:tblLook w:val="04A0" w:firstRow="1" w:lastRow="0" w:firstColumn="1" w:lastColumn="0" w:noHBand="0" w:noVBand="1"/>
      </w:tblPr>
      <w:tblGrid>
        <w:gridCol w:w="1039"/>
        <w:gridCol w:w="2072"/>
        <w:gridCol w:w="5536"/>
      </w:tblGrid>
      <w:tr w:rsidR="008E2278" w:rsidRPr="008E2278" w:rsidTr="0022365E">
        <w:trPr>
          <w:trHeight w:val="930"/>
        </w:trPr>
        <w:tc>
          <w:tcPr>
            <w:tcW w:w="1039" w:type="dxa"/>
            <w:hideMark/>
          </w:tcPr>
          <w:p w:rsidR="00AE1CC5" w:rsidRPr="008E2278" w:rsidRDefault="00AE1CC5" w:rsidP="00C539AD">
            <w:pPr>
              <w:rPr>
                <w:sz w:val="20"/>
                <w:szCs w:val="20"/>
              </w:rPr>
            </w:pPr>
            <w:r w:rsidRPr="008E2278">
              <w:rPr>
                <w:sz w:val="20"/>
                <w:szCs w:val="20"/>
              </w:rPr>
              <w:t>C0170/ R0100 to R0260</w:t>
            </w:r>
          </w:p>
          <w:p w:rsidR="00AE1CC5" w:rsidRPr="008E2278" w:rsidRDefault="00AE1CC5" w:rsidP="00C539AD">
            <w:pPr>
              <w:rPr>
                <w:sz w:val="20"/>
                <w:szCs w:val="20"/>
              </w:rPr>
            </w:pPr>
          </w:p>
        </w:tc>
        <w:tc>
          <w:tcPr>
            <w:tcW w:w="2072" w:type="dxa"/>
            <w:hideMark/>
          </w:tcPr>
          <w:p w:rsidR="00AE1CC5" w:rsidRPr="008E2278" w:rsidRDefault="00AE1CC5" w:rsidP="00C539AD">
            <w:pPr>
              <w:rPr>
                <w:sz w:val="20"/>
                <w:szCs w:val="20"/>
              </w:rPr>
            </w:pPr>
            <w:r w:rsidRPr="008E2278">
              <w:rPr>
                <w:sz w:val="20"/>
                <w:szCs w:val="20"/>
              </w:rPr>
              <w:t>Gross Claims Paid (non-cumulative) – In current year</w:t>
            </w:r>
          </w:p>
        </w:tc>
        <w:tc>
          <w:tcPr>
            <w:tcW w:w="5536" w:type="dxa"/>
            <w:hideMark/>
          </w:tcPr>
          <w:p w:rsidR="00AE1CC5" w:rsidRPr="008E2278" w:rsidRDefault="00AE1CC5" w:rsidP="00C539AD">
            <w:pPr>
              <w:spacing w:after="200" w:line="276" w:lineRule="auto"/>
              <w:rPr>
                <w:sz w:val="20"/>
                <w:szCs w:val="20"/>
              </w:rPr>
            </w:pPr>
            <w:r w:rsidRPr="008E2278">
              <w:rPr>
                <w:sz w:val="20"/>
                <w:szCs w:val="20"/>
              </w:rPr>
              <w:t xml:space="preserve">Total “Current year” reflects the last diagonal (all data referred to last reporting year from R0100 to R0250. </w:t>
            </w:r>
          </w:p>
          <w:p w:rsidR="00AE1CC5" w:rsidRPr="008E2278" w:rsidRDefault="00AE1CC5" w:rsidP="00C539AD">
            <w:pPr>
              <w:rPr>
                <w:sz w:val="20"/>
                <w:szCs w:val="20"/>
              </w:rPr>
            </w:pPr>
            <w:r w:rsidRPr="008E2278">
              <w:rPr>
                <w:sz w:val="20"/>
                <w:szCs w:val="20"/>
              </w:rPr>
              <w:t>R0260 is the total of R010</w:t>
            </w:r>
            <w:r w:rsidR="007344C8" w:rsidRPr="008E2278">
              <w:rPr>
                <w:sz w:val="20"/>
                <w:szCs w:val="20"/>
              </w:rPr>
              <w:t>0</w:t>
            </w:r>
            <w:r w:rsidRPr="008E2278">
              <w:rPr>
                <w:sz w:val="20"/>
                <w:szCs w:val="20"/>
              </w:rPr>
              <w:t xml:space="preserve"> to R0250</w:t>
            </w:r>
          </w:p>
        </w:tc>
      </w:tr>
    </w:tbl>
    <w:p w:rsidR="00F409D2" w:rsidRDefault="00F409D2" w:rsidP="006F600D">
      <w:pPr>
        <w:pStyle w:val="ListParagraph"/>
        <w:rPr>
          <w:rFonts w:ascii="Times New Roman" w:hAnsi="Times New Roman"/>
          <w:noProof/>
          <w:sz w:val="24"/>
          <w:lang w:val="en-GB"/>
        </w:rPr>
      </w:pPr>
      <w:r>
        <w:rPr>
          <w:rFonts w:ascii="Times New Roman" w:hAnsi="Times New Roman"/>
          <w:noProof/>
          <w:sz w:val="24"/>
          <w:lang w:val="en-GB"/>
        </w:rPr>
        <w:t>;</w:t>
      </w:r>
    </w:p>
    <w:p w:rsidR="00AE1CC5" w:rsidRPr="008E2278" w:rsidRDefault="00222CCD" w:rsidP="00E6045B">
      <w:pPr>
        <w:pStyle w:val="ListParagraph"/>
        <w:numPr>
          <w:ilvl w:val="0"/>
          <w:numId w:val="137"/>
        </w:numPr>
        <w:rPr>
          <w:rFonts w:ascii="Times New Roman" w:hAnsi="Times New Roman"/>
          <w:noProof/>
          <w:sz w:val="24"/>
          <w:lang w:val="en-GB"/>
        </w:rPr>
      </w:pPr>
      <w:r>
        <w:rPr>
          <w:rFonts w:ascii="Times New Roman" w:hAnsi="Times New Roman"/>
          <w:sz w:val="24"/>
          <w:lang w:val="en-GB"/>
        </w:rPr>
        <w:t>In template</w:t>
      </w:r>
      <w:r w:rsidR="00A049A5">
        <w:rPr>
          <w:rFonts w:ascii="Times New Roman" w:hAnsi="Times New Roman"/>
          <w:sz w:val="24"/>
          <w:lang w:val="en-GB"/>
        </w:rPr>
        <w:t xml:space="preserve"> </w:t>
      </w:r>
      <w:r w:rsidR="00AE1CC5" w:rsidRPr="008E2278">
        <w:rPr>
          <w:rFonts w:ascii="Times New Roman" w:hAnsi="Times New Roman"/>
          <w:noProof/>
          <w:sz w:val="24"/>
          <w:lang w:val="en-GB"/>
        </w:rPr>
        <w:t>S.19.01.C0360/R0100 to R0260</w:t>
      </w:r>
      <w:r w:rsidR="00F663D7">
        <w:rPr>
          <w:rFonts w:ascii="Times New Roman" w:hAnsi="Times New Roman"/>
          <w:noProof/>
          <w:sz w:val="24"/>
          <w:lang w:val="en-GB"/>
        </w:rPr>
        <w:t xml:space="preserve"> </w:t>
      </w:r>
      <w:r>
        <w:rPr>
          <w:rFonts w:ascii="Times New Roman" w:hAnsi="Times New Roman"/>
          <w:noProof/>
          <w:sz w:val="24"/>
          <w:lang w:val="en-GB"/>
        </w:rPr>
        <w:t>the row</w:t>
      </w:r>
      <w:r w:rsidR="00AE1CC5" w:rsidRPr="008E2278">
        <w:rPr>
          <w:rFonts w:ascii="Times New Roman" w:hAnsi="Times New Roman"/>
          <w:noProof/>
          <w:sz w:val="24"/>
          <w:lang w:val="en-GB"/>
        </w:rPr>
        <w:t xml:space="preserve"> is replaced by the following:</w:t>
      </w:r>
    </w:p>
    <w:tbl>
      <w:tblPr>
        <w:tblStyle w:val="TableGrid"/>
        <w:tblW w:w="8647" w:type="dxa"/>
        <w:tblInd w:w="817" w:type="dxa"/>
        <w:tblLook w:val="04A0" w:firstRow="1" w:lastRow="0" w:firstColumn="1" w:lastColumn="0" w:noHBand="0" w:noVBand="1"/>
      </w:tblPr>
      <w:tblGrid>
        <w:gridCol w:w="1039"/>
        <w:gridCol w:w="2072"/>
        <w:gridCol w:w="5536"/>
      </w:tblGrid>
      <w:tr w:rsidR="008E2278" w:rsidRPr="008E2278" w:rsidTr="0022365E">
        <w:trPr>
          <w:trHeight w:val="921"/>
        </w:trPr>
        <w:tc>
          <w:tcPr>
            <w:tcW w:w="1039" w:type="dxa"/>
            <w:hideMark/>
          </w:tcPr>
          <w:p w:rsidR="00AE1CC5" w:rsidRPr="008E2278" w:rsidRDefault="00AE1CC5" w:rsidP="00C539AD">
            <w:pPr>
              <w:rPr>
                <w:sz w:val="20"/>
                <w:szCs w:val="20"/>
              </w:rPr>
            </w:pPr>
            <w:r w:rsidRPr="008E2278">
              <w:rPr>
                <w:sz w:val="20"/>
                <w:szCs w:val="20"/>
              </w:rPr>
              <w:t xml:space="preserve">C0360/ R0100 to R0260 </w:t>
            </w:r>
          </w:p>
        </w:tc>
        <w:tc>
          <w:tcPr>
            <w:tcW w:w="2072" w:type="dxa"/>
            <w:hideMark/>
          </w:tcPr>
          <w:p w:rsidR="00AE1CC5" w:rsidRPr="008E2278" w:rsidRDefault="00AE1CC5" w:rsidP="00C539AD">
            <w:pPr>
              <w:rPr>
                <w:sz w:val="20"/>
                <w:szCs w:val="20"/>
              </w:rPr>
            </w:pPr>
            <w:r w:rsidRPr="008E2278">
              <w:rPr>
                <w:sz w:val="20"/>
                <w:szCs w:val="20"/>
              </w:rPr>
              <w:t>Gross Best Estimate Claims Provisions – Year end (discounted data)</w:t>
            </w:r>
          </w:p>
        </w:tc>
        <w:tc>
          <w:tcPr>
            <w:tcW w:w="5536" w:type="dxa"/>
            <w:hideMark/>
          </w:tcPr>
          <w:p w:rsidR="00AE1CC5" w:rsidRPr="008E2278" w:rsidRDefault="00AE1CC5" w:rsidP="00C539AD">
            <w:pPr>
              <w:rPr>
                <w:sz w:val="20"/>
                <w:szCs w:val="20"/>
              </w:rPr>
            </w:pPr>
            <w:r w:rsidRPr="008E2278">
              <w:rPr>
                <w:sz w:val="20"/>
                <w:szCs w:val="20"/>
              </w:rPr>
              <w:t>Total “</w:t>
            </w:r>
            <w:proofErr w:type="spellStart"/>
            <w:r w:rsidRPr="008E2278">
              <w:rPr>
                <w:sz w:val="20"/>
                <w:szCs w:val="20"/>
              </w:rPr>
              <w:t>Year end</w:t>
            </w:r>
            <w:proofErr w:type="spellEnd"/>
            <w:r w:rsidRPr="008E2278">
              <w:rPr>
                <w:sz w:val="20"/>
                <w:szCs w:val="20"/>
              </w:rPr>
              <w:t>” reflects the last diagonal but on a discounted basis</w:t>
            </w:r>
            <w:r w:rsidR="00F663D7">
              <w:rPr>
                <w:sz w:val="20"/>
                <w:szCs w:val="20"/>
              </w:rPr>
              <w:t xml:space="preserve"> </w:t>
            </w:r>
            <w:r w:rsidRPr="008E2278">
              <w:rPr>
                <w:sz w:val="20"/>
                <w:szCs w:val="20"/>
              </w:rPr>
              <w:t>(all data referred to last reporting year) from R0100 to R0250.</w:t>
            </w:r>
          </w:p>
          <w:p w:rsidR="00AE1CC5" w:rsidRPr="008E2278" w:rsidRDefault="00AE1CC5" w:rsidP="00C539AD">
            <w:pPr>
              <w:rPr>
                <w:sz w:val="20"/>
                <w:szCs w:val="20"/>
              </w:rPr>
            </w:pPr>
          </w:p>
          <w:p w:rsidR="00AE1CC5" w:rsidRPr="008E2278" w:rsidRDefault="00AE1CC5" w:rsidP="00C539AD">
            <w:pPr>
              <w:rPr>
                <w:sz w:val="20"/>
                <w:szCs w:val="20"/>
              </w:rPr>
            </w:pPr>
            <w:r w:rsidRPr="008E2278">
              <w:rPr>
                <w:sz w:val="20"/>
                <w:szCs w:val="20"/>
              </w:rPr>
              <w:t>R0260 is the total of R0100 to R0250</w:t>
            </w:r>
          </w:p>
        </w:tc>
      </w:tr>
    </w:tbl>
    <w:p w:rsidR="00F663D7" w:rsidRDefault="00F663D7" w:rsidP="00CD6D0B">
      <w:pPr>
        <w:pStyle w:val="ListParagraph"/>
        <w:rPr>
          <w:rFonts w:ascii="Times New Roman" w:hAnsi="Times New Roman"/>
          <w:noProof/>
          <w:sz w:val="24"/>
          <w:lang w:val="en-GB"/>
        </w:rPr>
      </w:pPr>
      <w:r>
        <w:rPr>
          <w:rFonts w:ascii="Times New Roman" w:hAnsi="Times New Roman"/>
          <w:noProof/>
          <w:sz w:val="24"/>
          <w:lang w:val="en-GB"/>
        </w:rPr>
        <w:t>;</w:t>
      </w:r>
    </w:p>
    <w:p w:rsidR="00457F1F" w:rsidRPr="00457F1F" w:rsidRDefault="00457F1F" w:rsidP="00E6045B">
      <w:pPr>
        <w:pStyle w:val="ListParagraph"/>
        <w:numPr>
          <w:ilvl w:val="0"/>
          <w:numId w:val="137"/>
        </w:numPr>
        <w:rPr>
          <w:rFonts w:ascii="Times New Roman" w:hAnsi="Times New Roman"/>
          <w:noProof/>
          <w:color w:val="000000"/>
          <w:sz w:val="24"/>
          <w:lang w:val="en-GB"/>
        </w:rPr>
      </w:pPr>
      <w:r w:rsidRPr="00B07096">
        <w:rPr>
          <w:rFonts w:ascii="Times New Roman" w:hAnsi="Times New Roman"/>
          <w:noProof/>
          <w:color w:val="000000"/>
          <w:sz w:val="24"/>
          <w:lang w:val="en-GB"/>
        </w:rPr>
        <w:t xml:space="preserve">In </w:t>
      </w:r>
      <w:r w:rsidR="00222CCD">
        <w:rPr>
          <w:rFonts w:ascii="Times New Roman" w:hAnsi="Times New Roman"/>
          <w:sz w:val="24"/>
          <w:lang w:val="en-GB"/>
        </w:rPr>
        <w:t>template</w:t>
      </w:r>
      <w:r w:rsidR="00A049A5">
        <w:rPr>
          <w:rFonts w:ascii="Times New Roman" w:hAnsi="Times New Roman"/>
          <w:sz w:val="24"/>
          <w:lang w:val="en-GB"/>
        </w:rPr>
        <w:t xml:space="preserve"> </w:t>
      </w:r>
      <w:r w:rsidRPr="00B07096">
        <w:rPr>
          <w:rFonts w:ascii="Times New Roman" w:hAnsi="Times New Roman"/>
          <w:noProof/>
          <w:color w:val="000000"/>
          <w:sz w:val="24"/>
          <w:lang w:val="en-GB"/>
        </w:rPr>
        <w:t>S.12.01.</w:t>
      </w:r>
      <w:r w:rsidRPr="00457F1F">
        <w:rPr>
          <w:rFonts w:ascii="Times New Roman" w:hAnsi="Times New Roman"/>
          <w:noProof/>
          <w:color w:val="000000"/>
          <w:sz w:val="24"/>
          <w:lang w:val="en-GB"/>
        </w:rPr>
        <w:t>C0020, C0030, C0060, C0090, C0100, C0160, C0190, C0200/R0110, C0150/</w:t>
      </w:r>
      <w:r w:rsidRPr="00B07096">
        <w:rPr>
          <w:rFonts w:ascii="Times New Roman" w:hAnsi="Times New Roman"/>
          <w:noProof/>
          <w:color w:val="000000"/>
          <w:sz w:val="24"/>
          <w:lang w:val="en-GB"/>
        </w:rPr>
        <w:t xml:space="preserve">R0110, C0210/ R0110, </w:t>
      </w:r>
      <w:r w:rsidRPr="00457F1F">
        <w:rPr>
          <w:rFonts w:ascii="Times New Roman" w:hAnsi="Times New Roman"/>
          <w:noProof/>
          <w:color w:val="000000"/>
          <w:sz w:val="24"/>
          <w:lang w:val="en-GB"/>
        </w:rPr>
        <w:t xml:space="preserve">C0020, C0040, C0050, C0070, C0080, C0090, C0100, C0170, C0180,  C0190, C0200/R0120, C0150/R0120, C0210/R0120, C0020, C0030, C0060, C0090, C0100, C0160, C0190, C0200/R0130, C0150/R0130 and C0210/R0130 the second paragraph of the instructions is replaced by the following: </w:t>
      </w:r>
    </w:p>
    <w:p w:rsidR="00457F1F" w:rsidRDefault="00457F1F" w:rsidP="0022365E">
      <w:pPr>
        <w:ind w:left="709"/>
        <w:rPr>
          <w:noProof/>
          <w:color w:val="000000"/>
        </w:rPr>
      </w:pPr>
      <w:r w:rsidRPr="00457F1F">
        <w:rPr>
          <w:noProof/>
          <w:color w:val="000000"/>
        </w:rPr>
        <w:t xml:space="preserve">‘This value shall be </w:t>
      </w:r>
      <w:r>
        <w:rPr>
          <w:noProof/>
          <w:color w:val="000000"/>
        </w:rPr>
        <w:t>disclosed</w:t>
      </w:r>
      <w:r w:rsidRPr="00457F1F">
        <w:rPr>
          <w:noProof/>
          <w:color w:val="000000"/>
        </w:rPr>
        <w:t xml:space="preserve"> as a negative value when it reduces the technical provisions.’;</w:t>
      </w:r>
    </w:p>
    <w:p w:rsidR="00226131" w:rsidRPr="00457F1F" w:rsidRDefault="00226131" w:rsidP="00457F1F">
      <w:pPr>
        <w:ind w:left="360"/>
        <w:rPr>
          <w:noProof/>
          <w:color w:val="000000"/>
        </w:rPr>
      </w:pPr>
    </w:p>
    <w:p w:rsidR="00D86D57" w:rsidRPr="008E2278" w:rsidRDefault="00D86D57" w:rsidP="00E6045B">
      <w:pPr>
        <w:pStyle w:val="ListParagraph"/>
        <w:numPr>
          <w:ilvl w:val="0"/>
          <w:numId w:val="137"/>
        </w:numPr>
        <w:rPr>
          <w:rFonts w:ascii="Times New Roman" w:hAnsi="Times New Roman"/>
          <w:noProof/>
          <w:sz w:val="24"/>
          <w:lang w:val="en-GB"/>
        </w:rPr>
      </w:pPr>
      <w:r w:rsidRPr="00B07096">
        <w:rPr>
          <w:rFonts w:ascii="Times New Roman" w:hAnsi="Times New Roman"/>
          <w:noProof/>
          <w:color w:val="000000"/>
          <w:sz w:val="24"/>
          <w:lang w:val="en-GB"/>
        </w:rPr>
        <w:t xml:space="preserve">In </w:t>
      </w:r>
      <w:r w:rsidR="00E439A1">
        <w:rPr>
          <w:rFonts w:ascii="Times New Roman" w:hAnsi="Times New Roman"/>
          <w:sz w:val="24"/>
          <w:lang w:val="en-GB"/>
        </w:rPr>
        <w:t>template</w:t>
      </w:r>
      <w:r w:rsidR="00A049A5">
        <w:rPr>
          <w:rFonts w:ascii="Times New Roman" w:hAnsi="Times New Roman"/>
          <w:sz w:val="24"/>
          <w:lang w:val="en-GB"/>
        </w:rPr>
        <w:t xml:space="preserve"> </w:t>
      </w:r>
      <w:r w:rsidRPr="00B07096">
        <w:rPr>
          <w:rFonts w:ascii="Times New Roman" w:hAnsi="Times New Roman"/>
          <w:noProof/>
          <w:color w:val="000000"/>
          <w:sz w:val="24"/>
          <w:lang w:val="en-GB"/>
        </w:rPr>
        <w:t>S.</w:t>
      </w:r>
      <w:r>
        <w:rPr>
          <w:rFonts w:ascii="Times New Roman" w:hAnsi="Times New Roman"/>
          <w:noProof/>
          <w:color w:val="000000"/>
          <w:sz w:val="24"/>
          <w:lang w:val="en-GB"/>
        </w:rPr>
        <w:t>17</w:t>
      </w:r>
      <w:r w:rsidRPr="00B07096">
        <w:rPr>
          <w:rFonts w:ascii="Times New Roman" w:hAnsi="Times New Roman"/>
          <w:noProof/>
          <w:color w:val="000000"/>
          <w:sz w:val="24"/>
          <w:lang w:val="en-GB"/>
        </w:rPr>
        <w:t>.01.</w:t>
      </w:r>
      <w:r w:rsidRPr="00D86D57">
        <w:rPr>
          <w:rFonts w:ascii="Times New Roman" w:hAnsi="Times New Roman"/>
          <w:noProof/>
          <w:color w:val="000000"/>
          <w:sz w:val="24"/>
          <w:lang w:val="en-GB"/>
        </w:rPr>
        <w:t xml:space="preserve">C0020 to C0170/R0290, C0180/R0290, C0020 to </w:t>
      </w:r>
      <w:r w:rsidRPr="008E2278">
        <w:rPr>
          <w:rFonts w:ascii="Times New Roman" w:hAnsi="Times New Roman"/>
          <w:noProof/>
          <w:sz w:val="24"/>
          <w:lang w:val="en-GB"/>
        </w:rPr>
        <w:t xml:space="preserve">C0170/R0300, C0180/R0300, C0020 to C0170/R0310 and C0180/R0310, the second paragraph is replaced by the following:  </w:t>
      </w:r>
    </w:p>
    <w:p w:rsidR="00D86D57" w:rsidRPr="008E2278" w:rsidRDefault="00D86D57" w:rsidP="00D86D57">
      <w:pPr>
        <w:pStyle w:val="ListParagraph"/>
        <w:ind w:left="1080"/>
        <w:rPr>
          <w:rFonts w:ascii="Times New Roman" w:hAnsi="Times New Roman"/>
          <w:noProof/>
          <w:sz w:val="24"/>
          <w:lang w:val="en-GB"/>
        </w:rPr>
      </w:pPr>
    </w:p>
    <w:p w:rsidR="001C1CEE" w:rsidRDefault="00D86D57" w:rsidP="00BB06D0">
      <w:pPr>
        <w:pStyle w:val="ListParagraph"/>
        <w:rPr>
          <w:rFonts w:ascii="Times New Roman" w:hAnsi="Times New Roman"/>
          <w:noProof/>
          <w:sz w:val="24"/>
          <w:lang w:val="en-GB"/>
        </w:rPr>
      </w:pPr>
      <w:r w:rsidRPr="008E2278">
        <w:rPr>
          <w:rFonts w:ascii="Times New Roman" w:hAnsi="Times New Roman"/>
          <w:noProof/>
          <w:sz w:val="24"/>
          <w:lang w:val="en-GB"/>
        </w:rPr>
        <w:t>“This value shall be disclosed as a negative value when it reduces the technical provisions.”</w:t>
      </w:r>
      <w:r w:rsidR="00A425AE">
        <w:rPr>
          <w:rFonts w:ascii="Times New Roman" w:hAnsi="Times New Roman"/>
          <w:noProof/>
          <w:sz w:val="24"/>
          <w:lang w:val="en-GB"/>
        </w:rPr>
        <w:t>;</w:t>
      </w:r>
    </w:p>
    <w:p w:rsidR="00A425AE" w:rsidRPr="008E2278" w:rsidRDefault="00A425AE" w:rsidP="00BB06D0">
      <w:pPr>
        <w:pStyle w:val="ListParagraph"/>
        <w:rPr>
          <w:rFonts w:ascii="Times New Roman" w:hAnsi="Times New Roman"/>
          <w:noProof/>
          <w:sz w:val="24"/>
          <w:lang w:val="en-GB"/>
        </w:rPr>
      </w:pPr>
    </w:p>
    <w:p w:rsidR="00893300" w:rsidRPr="008E2278" w:rsidRDefault="00893300" w:rsidP="003617B6">
      <w:pPr>
        <w:pStyle w:val="ListParagraph"/>
        <w:numPr>
          <w:ilvl w:val="0"/>
          <w:numId w:val="137"/>
        </w:numPr>
        <w:rPr>
          <w:rFonts w:ascii="Times New Roman" w:hAnsi="Times New Roman"/>
          <w:noProof/>
          <w:sz w:val="24"/>
          <w:lang w:val="en-GB"/>
        </w:rPr>
      </w:pPr>
      <w:r w:rsidRPr="008E2278">
        <w:rPr>
          <w:rFonts w:ascii="Times New Roman" w:hAnsi="Times New Roman"/>
          <w:noProof/>
          <w:sz w:val="24"/>
          <w:lang w:val="en-GB"/>
        </w:rPr>
        <w:t>The following</w:t>
      </w:r>
      <w:r w:rsidR="00A73548">
        <w:rPr>
          <w:rFonts w:ascii="Times New Roman" w:hAnsi="Times New Roman"/>
          <w:noProof/>
          <w:sz w:val="24"/>
          <w:lang w:val="en-GB"/>
        </w:rPr>
        <w:t xml:space="preserve"> row</w:t>
      </w:r>
      <w:r w:rsidRPr="008E2278">
        <w:rPr>
          <w:rFonts w:ascii="Times New Roman" w:hAnsi="Times New Roman"/>
          <w:noProof/>
          <w:sz w:val="24"/>
          <w:lang w:val="en-GB"/>
        </w:rPr>
        <w:t xml:space="preserve"> is added after description </w:t>
      </w:r>
      <w:r w:rsidR="00E439A1">
        <w:rPr>
          <w:rFonts w:ascii="Times New Roman" w:hAnsi="Times New Roman"/>
          <w:noProof/>
          <w:sz w:val="24"/>
          <w:lang w:val="en-GB"/>
        </w:rPr>
        <w:t>in template</w:t>
      </w:r>
      <w:r w:rsidR="007D4910">
        <w:rPr>
          <w:rFonts w:ascii="Times New Roman" w:hAnsi="Times New Roman"/>
          <w:noProof/>
          <w:sz w:val="24"/>
          <w:lang w:val="en-GB"/>
        </w:rPr>
        <w:t xml:space="preserve"> </w:t>
      </w:r>
      <w:r w:rsidRPr="008E2278">
        <w:rPr>
          <w:rFonts w:ascii="Times New Roman" w:hAnsi="Times New Roman"/>
          <w:noProof/>
          <w:sz w:val="24"/>
          <w:lang w:val="en-GB"/>
        </w:rPr>
        <w:t>S.23.01.01.R0230/C0040</w:t>
      </w:r>
      <w:r w:rsidR="003617B6" w:rsidRPr="008E2278">
        <w:rPr>
          <w:rFonts w:ascii="Times New Roman" w:hAnsi="Times New Roman"/>
          <w:noProof/>
          <w:sz w:val="24"/>
          <w:lang w:val="en-GB"/>
        </w:rPr>
        <w:t>:</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551"/>
        <w:gridCol w:w="4536"/>
      </w:tblGrid>
      <w:tr w:rsidR="008E2278" w:rsidRPr="008E2278" w:rsidTr="0022365E">
        <w:trPr>
          <w:trHeight w:val="1020"/>
        </w:trPr>
        <w:tc>
          <w:tcPr>
            <w:tcW w:w="1560" w:type="dxa"/>
            <w:tcBorders>
              <w:bottom w:val="single" w:sz="4" w:space="0" w:color="auto"/>
            </w:tcBorders>
            <w:shd w:val="clear" w:color="auto" w:fill="auto"/>
          </w:tcPr>
          <w:p w:rsidR="003617B6" w:rsidRPr="008E2278" w:rsidRDefault="003617B6" w:rsidP="00B476DA">
            <w:pPr>
              <w:rPr>
                <w:sz w:val="20"/>
                <w:szCs w:val="20"/>
              </w:rPr>
            </w:pPr>
            <w:r w:rsidRPr="008E2278">
              <w:rPr>
                <w:sz w:val="20"/>
                <w:szCs w:val="20"/>
              </w:rPr>
              <w:t>R0230/C0050</w:t>
            </w:r>
          </w:p>
          <w:p w:rsidR="003617B6" w:rsidRPr="008E2278" w:rsidRDefault="003617B6" w:rsidP="00B476DA">
            <w:pPr>
              <w:rPr>
                <w:sz w:val="20"/>
                <w:szCs w:val="20"/>
              </w:rPr>
            </w:pPr>
          </w:p>
          <w:p w:rsidR="003617B6" w:rsidRPr="008E2278" w:rsidRDefault="003617B6" w:rsidP="00B476DA">
            <w:pPr>
              <w:rPr>
                <w:sz w:val="20"/>
                <w:szCs w:val="20"/>
              </w:rPr>
            </w:pPr>
          </w:p>
          <w:p w:rsidR="003617B6" w:rsidRPr="008E2278" w:rsidRDefault="003617B6" w:rsidP="00B476DA">
            <w:pPr>
              <w:rPr>
                <w:sz w:val="20"/>
                <w:szCs w:val="20"/>
              </w:rPr>
            </w:pPr>
          </w:p>
          <w:p w:rsidR="003617B6" w:rsidRPr="008E2278" w:rsidRDefault="003617B6" w:rsidP="00B476DA">
            <w:pPr>
              <w:rPr>
                <w:sz w:val="20"/>
                <w:szCs w:val="20"/>
              </w:rPr>
            </w:pPr>
          </w:p>
          <w:p w:rsidR="003617B6" w:rsidRPr="008E2278" w:rsidRDefault="003617B6" w:rsidP="00B476DA">
            <w:pPr>
              <w:rPr>
                <w:sz w:val="20"/>
                <w:szCs w:val="20"/>
              </w:rPr>
            </w:pPr>
          </w:p>
        </w:tc>
        <w:tc>
          <w:tcPr>
            <w:tcW w:w="2551" w:type="dxa"/>
            <w:tcBorders>
              <w:bottom w:val="single" w:sz="4" w:space="0" w:color="auto"/>
            </w:tcBorders>
            <w:shd w:val="clear" w:color="auto" w:fill="auto"/>
          </w:tcPr>
          <w:p w:rsidR="003617B6" w:rsidRPr="008E2278" w:rsidRDefault="003617B6" w:rsidP="00B476DA">
            <w:pPr>
              <w:rPr>
                <w:sz w:val="20"/>
                <w:szCs w:val="20"/>
              </w:rPr>
            </w:pPr>
            <w:r w:rsidRPr="008E2278">
              <w:rPr>
                <w:sz w:val="20"/>
                <w:szCs w:val="20"/>
              </w:rPr>
              <w:t>Deductions for participations in financial and credit institutions – tier 3</w:t>
            </w:r>
          </w:p>
        </w:tc>
        <w:tc>
          <w:tcPr>
            <w:tcW w:w="4536" w:type="dxa"/>
            <w:tcBorders>
              <w:bottom w:val="single" w:sz="4" w:space="0" w:color="auto"/>
            </w:tcBorders>
            <w:shd w:val="clear" w:color="auto" w:fill="auto"/>
          </w:tcPr>
          <w:p w:rsidR="003617B6" w:rsidRPr="008E2278" w:rsidRDefault="003617B6" w:rsidP="00B476DA">
            <w:pPr>
              <w:rPr>
                <w:sz w:val="20"/>
                <w:szCs w:val="20"/>
              </w:rPr>
            </w:pPr>
            <w:r w:rsidRPr="008E2278">
              <w:rPr>
                <w:sz w:val="20"/>
                <w:szCs w:val="20"/>
              </w:rPr>
              <w:t xml:space="preserve">This is the amount of the deduction for participations in financial and credit institutions that </w:t>
            </w:r>
            <w:proofErr w:type="gramStart"/>
            <w:r w:rsidRPr="008E2278">
              <w:rPr>
                <w:sz w:val="20"/>
                <w:szCs w:val="20"/>
              </w:rPr>
              <w:t>are deducted</w:t>
            </w:r>
            <w:proofErr w:type="gramEnd"/>
            <w:r w:rsidRPr="008E2278">
              <w:rPr>
                <w:sz w:val="20"/>
                <w:szCs w:val="20"/>
              </w:rPr>
              <w:t xml:space="preserve"> from tier 3 in accordance with article 68 of Delegated Regulation (EU) 2015/35.</w:t>
            </w:r>
          </w:p>
        </w:tc>
      </w:tr>
    </w:tbl>
    <w:p w:rsidR="00DF6DBD" w:rsidRPr="00F2461A" w:rsidRDefault="00F409D2" w:rsidP="00BB06D0">
      <w:pPr>
        <w:pStyle w:val="ListParagraph"/>
        <w:rPr>
          <w:rFonts w:ascii="Times New Roman" w:eastAsia="Times New Roman" w:hAnsi="Times New Roman"/>
          <w:noProof/>
          <w:sz w:val="24"/>
          <w:lang w:val="en-GB" w:eastAsia="en-GB"/>
        </w:rPr>
      </w:pPr>
      <w:r w:rsidRPr="00F2461A">
        <w:rPr>
          <w:rFonts w:ascii="Times New Roman" w:eastAsia="Times New Roman" w:hAnsi="Times New Roman"/>
          <w:noProof/>
          <w:sz w:val="24"/>
          <w:lang w:val="en-GB" w:eastAsia="en-GB"/>
        </w:rPr>
        <w:t>;</w:t>
      </w:r>
    </w:p>
    <w:p w:rsidR="00BF4DA7" w:rsidRPr="008E2278" w:rsidRDefault="00BF4DA7" w:rsidP="00226131">
      <w:pPr>
        <w:pStyle w:val="ListParagraph"/>
        <w:numPr>
          <w:ilvl w:val="0"/>
          <w:numId w:val="72"/>
        </w:numPr>
        <w:rPr>
          <w:rFonts w:ascii="Times New Roman" w:hAnsi="Times New Roman"/>
          <w:sz w:val="24"/>
          <w:lang w:val="en-GB"/>
        </w:rPr>
      </w:pPr>
      <w:r w:rsidRPr="008E2278">
        <w:rPr>
          <w:rFonts w:ascii="Times New Roman" w:hAnsi="Times New Roman"/>
          <w:sz w:val="24"/>
          <w:lang w:val="en-GB"/>
        </w:rPr>
        <w:t>Annex III to Implementing Regulation (EU) 2015/245</w:t>
      </w:r>
      <w:r w:rsidR="00F27FFE" w:rsidRPr="008E2278">
        <w:rPr>
          <w:rFonts w:ascii="Times New Roman" w:hAnsi="Times New Roman"/>
          <w:sz w:val="24"/>
          <w:lang w:val="en-GB"/>
        </w:rPr>
        <w:t>2</w:t>
      </w:r>
      <w:r w:rsidRPr="008E2278">
        <w:rPr>
          <w:rFonts w:ascii="Times New Roman" w:hAnsi="Times New Roman"/>
          <w:sz w:val="24"/>
          <w:lang w:val="en-GB"/>
        </w:rPr>
        <w:t xml:space="preserve"> is </w:t>
      </w:r>
      <w:r w:rsidR="00E8408B" w:rsidRPr="008E2278">
        <w:rPr>
          <w:rFonts w:ascii="Times New Roman" w:hAnsi="Times New Roman"/>
          <w:sz w:val="24"/>
          <w:lang w:val="en-GB"/>
        </w:rPr>
        <w:t>corrected</w:t>
      </w:r>
      <w:r w:rsidRPr="008E2278">
        <w:rPr>
          <w:rFonts w:ascii="Times New Roman" w:hAnsi="Times New Roman"/>
          <w:sz w:val="24"/>
          <w:lang w:val="en-GB"/>
        </w:rPr>
        <w:t xml:space="preserve"> as follows:</w:t>
      </w:r>
    </w:p>
    <w:p w:rsidR="00B952BB" w:rsidRPr="008E2278" w:rsidRDefault="00B952BB" w:rsidP="00B952BB">
      <w:pPr>
        <w:pStyle w:val="ListParagraph"/>
        <w:ind w:left="502"/>
        <w:rPr>
          <w:rFonts w:ascii="Times New Roman" w:hAnsi="Times New Roman"/>
          <w:lang w:val="en-GB"/>
        </w:rPr>
      </w:pPr>
    </w:p>
    <w:p w:rsidR="00DF6DBD" w:rsidRPr="008E2278" w:rsidRDefault="00DF6DBD" w:rsidP="00F27FFE">
      <w:pPr>
        <w:pStyle w:val="ListParagraph"/>
        <w:numPr>
          <w:ilvl w:val="0"/>
          <w:numId w:val="75"/>
        </w:numPr>
        <w:rPr>
          <w:rFonts w:ascii="Times New Roman" w:hAnsi="Times New Roman"/>
          <w:noProof/>
          <w:sz w:val="24"/>
          <w:lang w:val="en-GB"/>
        </w:rPr>
      </w:pPr>
      <w:r w:rsidRPr="008E2278">
        <w:rPr>
          <w:rFonts w:ascii="Times New Roman" w:hAnsi="Times New Roman"/>
          <w:sz w:val="24"/>
          <w:lang w:val="en-GB"/>
        </w:rPr>
        <w:t>The following</w:t>
      </w:r>
      <w:r w:rsidR="001F0405">
        <w:rPr>
          <w:rFonts w:ascii="Times New Roman" w:hAnsi="Times New Roman"/>
          <w:sz w:val="24"/>
          <w:lang w:val="en-GB"/>
        </w:rPr>
        <w:t xml:space="preserve"> row</w:t>
      </w:r>
      <w:r w:rsidRPr="008E2278">
        <w:rPr>
          <w:rFonts w:ascii="Times New Roman" w:hAnsi="Times New Roman"/>
          <w:sz w:val="24"/>
          <w:lang w:val="en-GB"/>
        </w:rPr>
        <w:t xml:space="preserve"> is added after description </w:t>
      </w:r>
      <w:r w:rsidR="00E439A1">
        <w:rPr>
          <w:rFonts w:ascii="Times New Roman" w:hAnsi="Times New Roman"/>
          <w:sz w:val="24"/>
          <w:lang w:val="en-GB"/>
        </w:rPr>
        <w:t>in template</w:t>
      </w:r>
      <w:r w:rsidR="00A049A5">
        <w:rPr>
          <w:rFonts w:ascii="Times New Roman" w:hAnsi="Times New Roman"/>
          <w:sz w:val="24"/>
          <w:lang w:val="en-GB"/>
        </w:rPr>
        <w:t xml:space="preserve"> </w:t>
      </w:r>
      <w:r w:rsidRPr="008E2278">
        <w:rPr>
          <w:rFonts w:ascii="Times New Roman" w:hAnsi="Times New Roman"/>
          <w:sz w:val="24"/>
          <w:lang w:val="en-GB"/>
        </w:rPr>
        <w:t>S.23.01.R04</w:t>
      </w:r>
      <w:r w:rsidR="007B2E07" w:rsidRPr="008E2278">
        <w:rPr>
          <w:rFonts w:ascii="Times New Roman" w:hAnsi="Times New Roman"/>
          <w:sz w:val="24"/>
          <w:lang w:val="en-GB"/>
        </w:rPr>
        <w:t>4</w:t>
      </w:r>
      <w:r w:rsidRPr="008E2278">
        <w:rPr>
          <w:rFonts w:ascii="Times New Roman" w:hAnsi="Times New Roman"/>
          <w:sz w:val="24"/>
          <w:lang w:val="en-GB"/>
        </w:rPr>
        <w:t>0</w:t>
      </w:r>
      <w:r w:rsidR="007B2E07" w:rsidRPr="008E2278">
        <w:rPr>
          <w:rFonts w:ascii="Times New Roman" w:hAnsi="Times New Roman"/>
          <w:sz w:val="24"/>
          <w:lang w:val="en-GB"/>
        </w:rPr>
        <w:t>/C00</w:t>
      </w:r>
      <w:r w:rsidR="00D31B00" w:rsidRPr="008E2278">
        <w:rPr>
          <w:rFonts w:ascii="Times New Roman" w:hAnsi="Times New Roman"/>
          <w:sz w:val="24"/>
          <w:lang w:val="en-GB"/>
        </w:rPr>
        <w:t>4</w:t>
      </w:r>
      <w:r w:rsidR="007B2E07" w:rsidRPr="008E2278">
        <w:rPr>
          <w:rFonts w:ascii="Times New Roman" w:hAnsi="Times New Roman"/>
          <w:sz w:val="24"/>
          <w:lang w:val="en-GB"/>
        </w:rPr>
        <w:t>0</w:t>
      </w:r>
      <w:r w:rsidRPr="008E2278">
        <w:rPr>
          <w:rFonts w:ascii="Times New Roman" w:hAnsi="Times New Roman"/>
          <w:sz w:val="24"/>
          <w:lang w:val="en-GB"/>
        </w:rPr>
        <w:t>:</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551"/>
        <w:gridCol w:w="4536"/>
      </w:tblGrid>
      <w:tr w:rsidR="008E2278" w:rsidRPr="008E2278" w:rsidTr="0022365E">
        <w:trPr>
          <w:trHeight w:val="1020"/>
        </w:trPr>
        <w:tc>
          <w:tcPr>
            <w:tcW w:w="1560" w:type="dxa"/>
            <w:tcBorders>
              <w:bottom w:val="single" w:sz="4" w:space="0" w:color="auto"/>
            </w:tcBorders>
            <w:shd w:val="clear" w:color="auto" w:fill="auto"/>
          </w:tcPr>
          <w:p w:rsidR="00DF6DBD" w:rsidRPr="008E2278" w:rsidRDefault="00DF6DBD" w:rsidP="00226131">
            <w:pPr>
              <w:rPr>
                <w:sz w:val="20"/>
                <w:szCs w:val="20"/>
              </w:rPr>
            </w:pPr>
            <w:r w:rsidRPr="008E2278">
              <w:rPr>
                <w:sz w:val="20"/>
                <w:szCs w:val="20"/>
              </w:rPr>
              <w:t>R0440/C0050</w:t>
            </w:r>
          </w:p>
          <w:p w:rsidR="00DF6DBD" w:rsidRPr="008E2278" w:rsidRDefault="00DF6DBD" w:rsidP="00226131">
            <w:pPr>
              <w:rPr>
                <w:sz w:val="20"/>
                <w:szCs w:val="20"/>
              </w:rPr>
            </w:pPr>
          </w:p>
          <w:p w:rsidR="00DF6DBD" w:rsidRPr="008E2278" w:rsidRDefault="00DF6DBD" w:rsidP="00226131">
            <w:pPr>
              <w:rPr>
                <w:sz w:val="20"/>
                <w:szCs w:val="20"/>
              </w:rPr>
            </w:pPr>
          </w:p>
          <w:p w:rsidR="00DF6DBD" w:rsidRPr="008E2278" w:rsidRDefault="00DF6DBD" w:rsidP="00226131">
            <w:pPr>
              <w:rPr>
                <w:sz w:val="20"/>
                <w:szCs w:val="20"/>
              </w:rPr>
            </w:pPr>
          </w:p>
          <w:p w:rsidR="00DF6DBD" w:rsidRPr="008E2278" w:rsidRDefault="00DF6DBD" w:rsidP="00226131">
            <w:pPr>
              <w:rPr>
                <w:sz w:val="20"/>
                <w:szCs w:val="20"/>
              </w:rPr>
            </w:pPr>
          </w:p>
          <w:p w:rsidR="00DF6DBD" w:rsidRPr="008E2278" w:rsidRDefault="00DF6DBD" w:rsidP="00226131">
            <w:pPr>
              <w:rPr>
                <w:sz w:val="20"/>
                <w:szCs w:val="20"/>
              </w:rPr>
            </w:pPr>
          </w:p>
        </w:tc>
        <w:tc>
          <w:tcPr>
            <w:tcW w:w="2551" w:type="dxa"/>
            <w:tcBorders>
              <w:bottom w:val="single" w:sz="4" w:space="0" w:color="auto"/>
            </w:tcBorders>
            <w:shd w:val="clear" w:color="auto" w:fill="auto"/>
          </w:tcPr>
          <w:p w:rsidR="00DF6DBD" w:rsidRPr="008E2278" w:rsidRDefault="00DF6DBD" w:rsidP="00226131">
            <w:pPr>
              <w:rPr>
                <w:sz w:val="20"/>
                <w:szCs w:val="20"/>
              </w:rPr>
            </w:pPr>
            <w:r w:rsidRPr="008E2278">
              <w:rPr>
                <w:sz w:val="20"/>
                <w:szCs w:val="20"/>
              </w:rPr>
              <w:t>Total own funds of other financial sectors – tier 3</w:t>
            </w:r>
          </w:p>
        </w:tc>
        <w:tc>
          <w:tcPr>
            <w:tcW w:w="4536" w:type="dxa"/>
            <w:tcBorders>
              <w:bottom w:val="single" w:sz="4" w:space="0" w:color="auto"/>
            </w:tcBorders>
            <w:shd w:val="clear" w:color="auto" w:fill="auto"/>
          </w:tcPr>
          <w:p w:rsidR="00DF6DBD" w:rsidRPr="008E2278" w:rsidRDefault="00DF6DBD" w:rsidP="00226131">
            <w:pPr>
              <w:rPr>
                <w:sz w:val="20"/>
                <w:szCs w:val="20"/>
              </w:rPr>
            </w:pPr>
            <w:r w:rsidRPr="008E2278">
              <w:rPr>
                <w:sz w:val="20"/>
                <w:szCs w:val="20"/>
              </w:rPr>
              <w:t>Total of own funds in other financial sectors –tier 3.</w:t>
            </w:r>
          </w:p>
          <w:p w:rsidR="00DF6DBD" w:rsidRPr="008E2278" w:rsidRDefault="00DF6DBD" w:rsidP="00226131">
            <w:pPr>
              <w:rPr>
                <w:sz w:val="20"/>
                <w:szCs w:val="20"/>
              </w:rPr>
            </w:pPr>
          </w:p>
          <w:p w:rsidR="00DF6DBD" w:rsidRPr="008E2278" w:rsidRDefault="00DF6DBD" w:rsidP="00DF6DBD">
            <w:pPr>
              <w:rPr>
                <w:sz w:val="20"/>
                <w:szCs w:val="20"/>
              </w:rPr>
            </w:pPr>
            <w:r w:rsidRPr="008E2278">
              <w:rPr>
                <w:sz w:val="20"/>
                <w:szCs w:val="20"/>
              </w:rPr>
              <w:t>The total own funds deducted in cell R0230/C0010 are brought back here after the adjustment for non– available own funds according to the relevant sectoral rules and after the deduction according to Article 228, paragraph 2 of the Directive 2009/138/EC.</w:t>
            </w:r>
          </w:p>
        </w:tc>
      </w:tr>
    </w:tbl>
    <w:p w:rsidR="00F409D2" w:rsidRDefault="00F409D2" w:rsidP="006F600D">
      <w:pPr>
        <w:pStyle w:val="ListParagraph"/>
        <w:rPr>
          <w:rFonts w:ascii="Times New Roman" w:hAnsi="Times New Roman"/>
          <w:noProof/>
          <w:sz w:val="24"/>
          <w:lang w:val="en-GB"/>
        </w:rPr>
      </w:pPr>
      <w:r>
        <w:rPr>
          <w:rFonts w:ascii="Times New Roman" w:hAnsi="Times New Roman"/>
          <w:noProof/>
          <w:sz w:val="24"/>
          <w:lang w:val="en-GB"/>
        </w:rPr>
        <w:t>;</w:t>
      </w:r>
    </w:p>
    <w:p w:rsidR="00B812AA" w:rsidRPr="008E2278" w:rsidRDefault="00B812AA" w:rsidP="00F27FFE">
      <w:pPr>
        <w:pStyle w:val="ListParagraph"/>
        <w:numPr>
          <w:ilvl w:val="0"/>
          <w:numId w:val="75"/>
        </w:numPr>
        <w:rPr>
          <w:rFonts w:ascii="Times New Roman" w:hAnsi="Times New Roman"/>
          <w:noProof/>
          <w:sz w:val="24"/>
          <w:lang w:val="en-GB"/>
        </w:rPr>
      </w:pPr>
      <w:r w:rsidRPr="008E2278">
        <w:rPr>
          <w:rFonts w:ascii="Times New Roman" w:hAnsi="Times New Roman"/>
          <w:noProof/>
          <w:sz w:val="24"/>
          <w:lang w:val="en-GB"/>
        </w:rPr>
        <w:t xml:space="preserve">In </w:t>
      </w:r>
      <w:r w:rsidR="00E439A1">
        <w:rPr>
          <w:rFonts w:ascii="Times New Roman" w:hAnsi="Times New Roman"/>
          <w:sz w:val="24"/>
          <w:lang w:val="en-GB"/>
        </w:rPr>
        <w:t>template</w:t>
      </w:r>
      <w:r w:rsidR="00A049A5">
        <w:rPr>
          <w:rFonts w:ascii="Times New Roman" w:hAnsi="Times New Roman"/>
          <w:sz w:val="24"/>
          <w:lang w:val="en-GB"/>
        </w:rPr>
        <w:t xml:space="preserve"> </w:t>
      </w:r>
      <w:r w:rsidRPr="008E2278">
        <w:rPr>
          <w:rFonts w:ascii="Times New Roman" w:hAnsi="Times New Roman"/>
          <w:noProof/>
          <w:sz w:val="24"/>
          <w:lang w:val="en-GB"/>
        </w:rPr>
        <w:t>S.23.01</w:t>
      </w:r>
      <w:r w:rsidR="00D40E88" w:rsidRPr="008E2278">
        <w:rPr>
          <w:rFonts w:ascii="Times New Roman" w:hAnsi="Times New Roman"/>
          <w:noProof/>
          <w:sz w:val="24"/>
          <w:lang w:val="en-GB"/>
        </w:rPr>
        <w:t xml:space="preserve">.R0680/C0010 </w:t>
      </w:r>
      <w:r w:rsidRPr="008E2278">
        <w:rPr>
          <w:rFonts w:ascii="Times New Roman" w:hAnsi="Times New Roman"/>
          <w:noProof/>
          <w:sz w:val="24"/>
          <w:lang w:val="en-GB"/>
        </w:rPr>
        <w:t xml:space="preserve">the </w:t>
      </w:r>
      <w:r w:rsidR="00F663D7">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779" w:type="dxa"/>
        <w:tblCellMar>
          <w:left w:w="70" w:type="dxa"/>
          <w:right w:w="70" w:type="dxa"/>
        </w:tblCellMar>
        <w:tblLook w:val="04A0" w:firstRow="1" w:lastRow="0" w:firstColumn="1" w:lastColumn="0" w:noHBand="0" w:noVBand="1"/>
      </w:tblPr>
      <w:tblGrid>
        <w:gridCol w:w="1458"/>
        <w:gridCol w:w="2621"/>
        <w:gridCol w:w="4568"/>
      </w:tblGrid>
      <w:tr w:rsidR="008E2278" w:rsidRPr="008E2278" w:rsidTr="0022365E">
        <w:trPr>
          <w:trHeight w:val="273"/>
        </w:trPr>
        <w:tc>
          <w:tcPr>
            <w:tcW w:w="1458" w:type="dxa"/>
            <w:tcBorders>
              <w:top w:val="single" w:sz="4" w:space="0" w:color="auto"/>
              <w:left w:val="single" w:sz="4" w:space="0" w:color="auto"/>
              <w:bottom w:val="single" w:sz="4" w:space="0" w:color="auto"/>
              <w:right w:val="single" w:sz="4" w:space="0" w:color="auto"/>
            </w:tcBorders>
            <w:shd w:val="clear" w:color="auto" w:fill="auto"/>
          </w:tcPr>
          <w:p w:rsidR="00B812AA" w:rsidRPr="008E2278" w:rsidRDefault="00B812AA" w:rsidP="00182971">
            <w:pPr>
              <w:rPr>
                <w:sz w:val="20"/>
                <w:szCs w:val="20"/>
                <w:lang w:eastAsia="es-ES"/>
              </w:rPr>
            </w:pPr>
            <w:r w:rsidRPr="008E2278">
              <w:rPr>
                <w:rFonts w:eastAsia="Calibri"/>
                <w:sz w:val="20"/>
                <w:szCs w:val="20"/>
                <w:lang w:eastAsia="en-US"/>
              </w:rPr>
              <w:t>R0680/C0010</w:t>
            </w:r>
          </w:p>
        </w:tc>
        <w:tc>
          <w:tcPr>
            <w:tcW w:w="2621" w:type="dxa"/>
            <w:tcBorders>
              <w:top w:val="single" w:sz="4" w:space="0" w:color="auto"/>
              <w:left w:val="single" w:sz="4" w:space="0" w:color="auto"/>
              <w:bottom w:val="single" w:sz="4" w:space="0" w:color="auto"/>
              <w:right w:val="single" w:sz="4" w:space="0" w:color="auto"/>
            </w:tcBorders>
            <w:shd w:val="clear" w:color="auto" w:fill="auto"/>
            <w:hideMark/>
          </w:tcPr>
          <w:p w:rsidR="00B812AA" w:rsidRPr="008E2278" w:rsidRDefault="00B812AA" w:rsidP="00182971">
            <w:pPr>
              <w:rPr>
                <w:sz w:val="20"/>
                <w:szCs w:val="20"/>
                <w:lang w:eastAsia="es-ES"/>
              </w:rPr>
            </w:pPr>
            <w:r w:rsidRPr="008E2278">
              <w:rPr>
                <w:sz w:val="20"/>
                <w:szCs w:val="20"/>
              </w:rPr>
              <w:t>Group SCR</w:t>
            </w:r>
          </w:p>
        </w:tc>
        <w:tc>
          <w:tcPr>
            <w:tcW w:w="4568" w:type="dxa"/>
            <w:tcBorders>
              <w:top w:val="single" w:sz="4" w:space="0" w:color="auto"/>
              <w:left w:val="nil"/>
              <w:bottom w:val="single" w:sz="4" w:space="0" w:color="auto"/>
              <w:right w:val="single" w:sz="4" w:space="0" w:color="auto"/>
            </w:tcBorders>
            <w:shd w:val="clear" w:color="auto" w:fill="auto"/>
            <w:hideMark/>
          </w:tcPr>
          <w:p w:rsidR="00D573FD" w:rsidRPr="008E2278" w:rsidRDefault="00D573FD" w:rsidP="004F1ACF">
            <w:pPr>
              <w:rPr>
                <w:sz w:val="20"/>
                <w:szCs w:val="20"/>
                <w:lang w:eastAsia="es-ES"/>
              </w:rPr>
            </w:pPr>
            <w:r w:rsidRPr="008E2278">
              <w:rPr>
                <w:sz w:val="19"/>
                <w:szCs w:val="19"/>
              </w:rPr>
              <w:t>The group SCR is the sum of the consolidated group SCR calculated in accordance with Article 336 (a), (b), (c) and (d) of Delegated Regulation (EU) 2015/35 and the SCR for entities included with D&amp;A.</w:t>
            </w:r>
          </w:p>
        </w:tc>
      </w:tr>
    </w:tbl>
    <w:p w:rsidR="00F409D2" w:rsidRDefault="00F409D2" w:rsidP="006F600D">
      <w:pPr>
        <w:pStyle w:val="ListParagraph"/>
        <w:rPr>
          <w:rFonts w:ascii="Times New Roman" w:hAnsi="Times New Roman"/>
          <w:noProof/>
          <w:sz w:val="24"/>
          <w:lang w:val="en-GB"/>
        </w:rPr>
      </w:pPr>
      <w:r>
        <w:rPr>
          <w:rFonts w:ascii="Times New Roman" w:hAnsi="Times New Roman"/>
          <w:noProof/>
          <w:sz w:val="24"/>
          <w:lang w:val="en-GB"/>
        </w:rPr>
        <w:t>;</w:t>
      </w:r>
    </w:p>
    <w:p w:rsidR="007B2E07" w:rsidRPr="008E2278" w:rsidRDefault="007B2E07" w:rsidP="0029133B">
      <w:pPr>
        <w:pStyle w:val="ListParagraph"/>
        <w:numPr>
          <w:ilvl w:val="0"/>
          <w:numId w:val="75"/>
        </w:numPr>
        <w:rPr>
          <w:rFonts w:ascii="Times New Roman" w:hAnsi="Times New Roman"/>
          <w:noProof/>
          <w:sz w:val="24"/>
          <w:lang w:val="en-GB"/>
        </w:rPr>
      </w:pPr>
      <w:r w:rsidRPr="008E2278">
        <w:rPr>
          <w:rFonts w:ascii="Times New Roman" w:hAnsi="Times New Roman"/>
          <w:noProof/>
          <w:sz w:val="24"/>
          <w:lang w:val="en-GB"/>
        </w:rPr>
        <w:t xml:space="preserve">In </w:t>
      </w:r>
      <w:r w:rsidR="00E439A1">
        <w:rPr>
          <w:rFonts w:ascii="Times New Roman" w:hAnsi="Times New Roman"/>
          <w:sz w:val="24"/>
          <w:lang w:val="en-GB"/>
        </w:rPr>
        <w:t>template</w:t>
      </w:r>
      <w:r w:rsidR="00A049A5">
        <w:rPr>
          <w:rFonts w:ascii="Times New Roman" w:hAnsi="Times New Roman"/>
          <w:sz w:val="24"/>
          <w:lang w:val="en-GB"/>
        </w:rPr>
        <w:t xml:space="preserve"> </w:t>
      </w:r>
      <w:r w:rsidRPr="008E2278">
        <w:rPr>
          <w:rFonts w:ascii="Times New Roman" w:hAnsi="Times New Roman"/>
          <w:noProof/>
          <w:sz w:val="24"/>
          <w:lang w:val="en-GB"/>
        </w:rPr>
        <w:t xml:space="preserve">S.25.01.R0220/C0100 the </w:t>
      </w:r>
      <w:r w:rsidR="00F663D7">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779" w:type="dxa"/>
        <w:tblCellMar>
          <w:left w:w="70" w:type="dxa"/>
          <w:right w:w="70" w:type="dxa"/>
        </w:tblCellMar>
        <w:tblLook w:val="04A0" w:firstRow="1" w:lastRow="0" w:firstColumn="1" w:lastColumn="0" w:noHBand="0" w:noVBand="1"/>
      </w:tblPr>
      <w:tblGrid>
        <w:gridCol w:w="1458"/>
        <w:gridCol w:w="2621"/>
        <w:gridCol w:w="4568"/>
      </w:tblGrid>
      <w:tr w:rsidR="008E2278" w:rsidRPr="008E2278" w:rsidTr="0022365E">
        <w:trPr>
          <w:trHeight w:val="1735"/>
        </w:trPr>
        <w:tc>
          <w:tcPr>
            <w:tcW w:w="1458" w:type="dxa"/>
            <w:tcBorders>
              <w:top w:val="single" w:sz="4" w:space="0" w:color="auto"/>
              <w:left w:val="single" w:sz="4" w:space="0" w:color="auto"/>
              <w:bottom w:val="single" w:sz="4" w:space="0" w:color="auto"/>
              <w:right w:val="single" w:sz="4" w:space="0" w:color="auto"/>
            </w:tcBorders>
            <w:shd w:val="clear" w:color="auto" w:fill="auto"/>
          </w:tcPr>
          <w:p w:rsidR="007B2E07" w:rsidRPr="008E2278" w:rsidRDefault="007B2E07" w:rsidP="00E6045B">
            <w:pPr>
              <w:rPr>
                <w:sz w:val="20"/>
                <w:szCs w:val="20"/>
                <w:lang w:eastAsia="es-ES"/>
              </w:rPr>
            </w:pPr>
            <w:r w:rsidRPr="008E2278">
              <w:rPr>
                <w:rFonts w:eastAsia="Calibri"/>
                <w:sz w:val="20"/>
                <w:szCs w:val="20"/>
                <w:lang w:eastAsia="en-US"/>
              </w:rPr>
              <w:t>R0</w:t>
            </w:r>
            <w:r w:rsidRPr="008E2278">
              <w:rPr>
                <w:sz w:val="20"/>
                <w:szCs w:val="20"/>
              </w:rPr>
              <w:t>220</w:t>
            </w:r>
            <w:r w:rsidRPr="008E2278">
              <w:rPr>
                <w:rFonts w:eastAsia="Calibri"/>
                <w:sz w:val="20"/>
                <w:szCs w:val="20"/>
                <w:lang w:eastAsia="en-US"/>
              </w:rPr>
              <w:t>/C01</w:t>
            </w:r>
            <w:r w:rsidRPr="008E2278">
              <w:rPr>
                <w:sz w:val="20"/>
                <w:szCs w:val="20"/>
              </w:rPr>
              <w:t>0</w:t>
            </w:r>
            <w:r w:rsidRPr="008E2278">
              <w:rPr>
                <w:rFonts w:eastAsia="Calibri"/>
                <w:sz w:val="20"/>
                <w:szCs w:val="20"/>
                <w:lang w:eastAsia="en-US"/>
              </w:rPr>
              <w:t>0</w:t>
            </w:r>
          </w:p>
        </w:tc>
        <w:tc>
          <w:tcPr>
            <w:tcW w:w="2621" w:type="dxa"/>
            <w:tcBorders>
              <w:top w:val="single" w:sz="4" w:space="0" w:color="auto"/>
              <w:left w:val="single" w:sz="4" w:space="0" w:color="auto"/>
              <w:bottom w:val="single" w:sz="4" w:space="0" w:color="auto"/>
              <w:right w:val="single" w:sz="4" w:space="0" w:color="auto"/>
            </w:tcBorders>
            <w:shd w:val="clear" w:color="auto" w:fill="auto"/>
            <w:hideMark/>
          </w:tcPr>
          <w:p w:rsidR="007B2E07" w:rsidRPr="008E2278" w:rsidRDefault="007B2E07" w:rsidP="00E6045B">
            <w:pPr>
              <w:rPr>
                <w:sz w:val="20"/>
                <w:szCs w:val="20"/>
                <w:lang w:eastAsia="es-ES"/>
              </w:rPr>
            </w:pPr>
            <w:r w:rsidRPr="008E2278">
              <w:rPr>
                <w:sz w:val="20"/>
                <w:szCs w:val="20"/>
              </w:rPr>
              <w:t xml:space="preserve">Solvency capital requirement </w:t>
            </w:r>
          </w:p>
        </w:tc>
        <w:tc>
          <w:tcPr>
            <w:tcW w:w="4568" w:type="dxa"/>
            <w:tcBorders>
              <w:top w:val="single" w:sz="4" w:space="0" w:color="auto"/>
              <w:left w:val="nil"/>
              <w:bottom w:val="single" w:sz="4" w:space="0" w:color="auto"/>
              <w:right w:val="single" w:sz="4" w:space="0" w:color="auto"/>
            </w:tcBorders>
            <w:shd w:val="clear" w:color="auto" w:fill="auto"/>
            <w:hideMark/>
          </w:tcPr>
          <w:p w:rsidR="007B2E07" w:rsidRPr="008E2278" w:rsidRDefault="007B2E07" w:rsidP="00E6045B">
            <w:pPr>
              <w:rPr>
                <w:sz w:val="20"/>
                <w:szCs w:val="20"/>
              </w:rPr>
            </w:pPr>
            <w:r w:rsidRPr="008E2278">
              <w:rPr>
                <w:sz w:val="20"/>
                <w:szCs w:val="20"/>
              </w:rPr>
              <w:t>Overall capital requirement including capital add–</w:t>
            </w:r>
            <w:proofErr w:type="spellStart"/>
            <w:r w:rsidRPr="008E2278">
              <w:rPr>
                <w:sz w:val="20"/>
                <w:szCs w:val="20"/>
              </w:rPr>
              <w:t>ons</w:t>
            </w:r>
            <w:proofErr w:type="spellEnd"/>
          </w:p>
          <w:p w:rsidR="007B2E07" w:rsidRPr="008E2278" w:rsidRDefault="007B2E07" w:rsidP="00E6045B">
            <w:pPr>
              <w:rPr>
                <w:sz w:val="20"/>
                <w:szCs w:val="20"/>
              </w:rPr>
            </w:pPr>
          </w:p>
          <w:p w:rsidR="007B2E07" w:rsidRPr="008E2278" w:rsidRDefault="007B2E07" w:rsidP="00E6045B">
            <w:pPr>
              <w:rPr>
                <w:sz w:val="20"/>
                <w:szCs w:val="20"/>
                <w:lang w:eastAsia="es-ES"/>
              </w:rPr>
            </w:pPr>
            <w:proofErr w:type="gramStart"/>
            <w:r w:rsidRPr="008E2278">
              <w:rPr>
                <w:sz w:val="20"/>
                <w:szCs w:val="20"/>
              </w:rPr>
              <w:t>Amount of the Solvency Capital Requirement for undertakings under method 1 as defined in Article 230 of Directive 2009/138/EC.</w:t>
            </w:r>
            <w:proofErr w:type="gramEnd"/>
            <w:r w:rsidRPr="008E2278">
              <w:rPr>
                <w:sz w:val="20"/>
                <w:szCs w:val="20"/>
              </w:rPr>
              <w:t xml:space="preserve"> </w:t>
            </w:r>
            <w:proofErr w:type="gramStart"/>
            <w:r w:rsidRPr="008E2278">
              <w:rPr>
                <w:rFonts w:eastAsia="Calibri"/>
                <w:sz w:val="20"/>
                <w:szCs w:val="20"/>
                <w:lang w:eastAsia="en-US"/>
              </w:rPr>
              <w:t xml:space="preserve">It  </w:t>
            </w:r>
            <w:r w:rsidR="009A32AF">
              <w:rPr>
                <w:rFonts w:eastAsia="Calibri"/>
                <w:sz w:val="20"/>
                <w:szCs w:val="20"/>
                <w:lang w:eastAsia="en-US"/>
              </w:rPr>
              <w:t>shall</w:t>
            </w:r>
            <w:proofErr w:type="gramEnd"/>
            <w:r w:rsidRPr="008E2278">
              <w:rPr>
                <w:rFonts w:eastAsia="Calibri"/>
                <w:sz w:val="20"/>
                <w:szCs w:val="20"/>
                <w:lang w:eastAsia="en-US"/>
              </w:rPr>
              <w:t xml:space="preserve"> include all components of the consolidated SCR, including capital requirements of undertakings from other financial sectors, capital requirement for non-controlled participation requirements and capital requirement for residual undertakings.</w:t>
            </w:r>
          </w:p>
        </w:tc>
      </w:tr>
    </w:tbl>
    <w:p w:rsidR="00F409D2" w:rsidRDefault="00F409D2" w:rsidP="006F600D">
      <w:pPr>
        <w:pStyle w:val="ListParagraph"/>
        <w:rPr>
          <w:rFonts w:ascii="Times New Roman" w:hAnsi="Times New Roman"/>
          <w:noProof/>
          <w:sz w:val="24"/>
          <w:lang w:val="en-GB"/>
        </w:rPr>
      </w:pPr>
      <w:r>
        <w:rPr>
          <w:rFonts w:ascii="Times New Roman" w:hAnsi="Times New Roman"/>
          <w:noProof/>
          <w:sz w:val="24"/>
          <w:lang w:val="en-GB"/>
        </w:rPr>
        <w:t>;</w:t>
      </w:r>
    </w:p>
    <w:p w:rsidR="003F4902" w:rsidRPr="008E2278" w:rsidRDefault="003F4902" w:rsidP="0029133B">
      <w:pPr>
        <w:pStyle w:val="ListParagraph"/>
        <w:numPr>
          <w:ilvl w:val="0"/>
          <w:numId w:val="75"/>
        </w:numPr>
        <w:rPr>
          <w:rFonts w:ascii="Times New Roman" w:hAnsi="Times New Roman"/>
          <w:noProof/>
          <w:sz w:val="24"/>
          <w:lang w:val="en-GB"/>
        </w:rPr>
      </w:pPr>
      <w:r w:rsidRPr="008E2278">
        <w:rPr>
          <w:rFonts w:ascii="Times New Roman" w:hAnsi="Times New Roman"/>
          <w:noProof/>
          <w:sz w:val="24"/>
          <w:lang w:val="en-GB"/>
        </w:rPr>
        <w:t xml:space="preserve">In </w:t>
      </w:r>
      <w:r w:rsidR="00E439A1">
        <w:rPr>
          <w:rFonts w:ascii="Times New Roman" w:hAnsi="Times New Roman"/>
          <w:sz w:val="24"/>
          <w:lang w:val="en-GB"/>
        </w:rPr>
        <w:t>template</w:t>
      </w:r>
      <w:r w:rsidR="00A049A5">
        <w:rPr>
          <w:rFonts w:ascii="Times New Roman" w:hAnsi="Times New Roman"/>
          <w:sz w:val="24"/>
          <w:lang w:val="en-GB"/>
        </w:rPr>
        <w:t xml:space="preserve"> </w:t>
      </w:r>
      <w:r w:rsidR="00BF4DA7" w:rsidRPr="008E2278">
        <w:rPr>
          <w:rFonts w:ascii="Times New Roman" w:hAnsi="Times New Roman"/>
          <w:noProof/>
          <w:sz w:val="24"/>
          <w:lang w:val="en-GB"/>
        </w:rPr>
        <w:t>S.25.01</w:t>
      </w:r>
      <w:r w:rsidR="00ED0619" w:rsidRPr="008E2278">
        <w:rPr>
          <w:rFonts w:ascii="Times New Roman" w:hAnsi="Times New Roman"/>
          <w:noProof/>
          <w:sz w:val="24"/>
          <w:lang w:val="en-GB"/>
        </w:rPr>
        <w:t xml:space="preserve">.R0500/C0100 </w:t>
      </w:r>
      <w:r w:rsidR="00F663D7">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779" w:type="dxa"/>
        <w:tblCellMar>
          <w:left w:w="70" w:type="dxa"/>
          <w:right w:w="70" w:type="dxa"/>
        </w:tblCellMar>
        <w:tblLook w:val="04A0" w:firstRow="1" w:lastRow="0" w:firstColumn="1" w:lastColumn="0" w:noHBand="0" w:noVBand="1"/>
      </w:tblPr>
      <w:tblGrid>
        <w:gridCol w:w="1458"/>
        <w:gridCol w:w="2629"/>
        <w:gridCol w:w="4560"/>
      </w:tblGrid>
      <w:tr w:rsidR="008E2278" w:rsidRPr="008E2278" w:rsidTr="0022365E">
        <w:trPr>
          <w:trHeight w:val="1735"/>
        </w:trPr>
        <w:tc>
          <w:tcPr>
            <w:tcW w:w="1458" w:type="dxa"/>
            <w:tcBorders>
              <w:top w:val="single" w:sz="4" w:space="0" w:color="auto"/>
              <w:left w:val="single" w:sz="4" w:space="0" w:color="auto"/>
              <w:bottom w:val="single" w:sz="4" w:space="0" w:color="auto"/>
              <w:right w:val="single" w:sz="4" w:space="0" w:color="auto"/>
            </w:tcBorders>
            <w:shd w:val="clear" w:color="auto" w:fill="auto"/>
          </w:tcPr>
          <w:p w:rsidR="003F4902" w:rsidRPr="008E2278" w:rsidRDefault="003F4902" w:rsidP="00182971">
            <w:pPr>
              <w:rPr>
                <w:sz w:val="20"/>
                <w:szCs w:val="20"/>
                <w:lang w:eastAsia="es-ES"/>
              </w:rPr>
            </w:pPr>
            <w:r w:rsidRPr="008E2278">
              <w:rPr>
                <w:sz w:val="20"/>
                <w:szCs w:val="20"/>
              </w:rPr>
              <w:t>R0500/C0100</w:t>
            </w:r>
          </w:p>
        </w:tc>
        <w:tc>
          <w:tcPr>
            <w:tcW w:w="2629" w:type="dxa"/>
            <w:tcBorders>
              <w:top w:val="single" w:sz="4" w:space="0" w:color="auto"/>
              <w:left w:val="single" w:sz="4" w:space="0" w:color="auto"/>
              <w:bottom w:val="single" w:sz="4" w:space="0" w:color="auto"/>
              <w:right w:val="single" w:sz="4" w:space="0" w:color="auto"/>
            </w:tcBorders>
            <w:shd w:val="clear" w:color="auto" w:fill="auto"/>
            <w:hideMark/>
          </w:tcPr>
          <w:p w:rsidR="003F4902" w:rsidRPr="008E2278" w:rsidRDefault="003F4902" w:rsidP="00182971">
            <w:pPr>
              <w:rPr>
                <w:sz w:val="20"/>
                <w:szCs w:val="20"/>
                <w:lang w:eastAsia="es-ES"/>
              </w:rPr>
            </w:pPr>
            <w:r w:rsidRPr="008E2278">
              <w:rPr>
                <w:sz w:val="20"/>
                <w:szCs w:val="20"/>
              </w:rPr>
              <w:t>Capital requirement for other financial sectors (Non–insurance capital requirements)</w:t>
            </w:r>
          </w:p>
        </w:tc>
        <w:tc>
          <w:tcPr>
            <w:tcW w:w="4560" w:type="dxa"/>
            <w:tcBorders>
              <w:top w:val="single" w:sz="4" w:space="0" w:color="auto"/>
              <w:left w:val="nil"/>
              <w:bottom w:val="single" w:sz="4" w:space="0" w:color="auto"/>
              <w:right w:val="single" w:sz="4" w:space="0" w:color="auto"/>
            </w:tcBorders>
            <w:shd w:val="clear" w:color="auto" w:fill="auto"/>
            <w:hideMark/>
          </w:tcPr>
          <w:p w:rsidR="00ED0619" w:rsidRPr="008E2278" w:rsidRDefault="003F4902" w:rsidP="00182971">
            <w:pPr>
              <w:rPr>
                <w:sz w:val="20"/>
                <w:szCs w:val="20"/>
              </w:rPr>
            </w:pPr>
            <w:proofErr w:type="gramStart"/>
            <w:r w:rsidRPr="008E2278">
              <w:rPr>
                <w:sz w:val="20"/>
                <w:szCs w:val="20"/>
              </w:rPr>
              <w:t>Amount of capital requirement for other financial sectors.</w:t>
            </w:r>
            <w:proofErr w:type="gramEnd"/>
            <w:r w:rsidRPr="008E2278">
              <w:rPr>
                <w:sz w:val="20"/>
                <w:szCs w:val="20"/>
              </w:rPr>
              <w:t xml:space="preserve"> </w:t>
            </w:r>
          </w:p>
          <w:p w:rsidR="00ED0619" w:rsidRPr="008E2278" w:rsidRDefault="00ED0619" w:rsidP="00182971">
            <w:pPr>
              <w:rPr>
                <w:sz w:val="20"/>
                <w:szCs w:val="20"/>
              </w:rPr>
            </w:pPr>
          </w:p>
          <w:p w:rsidR="003F4902" w:rsidRPr="008E2278" w:rsidRDefault="003F4902" w:rsidP="00182971">
            <w:pPr>
              <w:rPr>
                <w:sz w:val="20"/>
                <w:szCs w:val="20"/>
              </w:rPr>
            </w:pPr>
            <w:r w:rsidRPr="008E2278">
              <w:rPr>
                <w:sz w:val="20"/>
                <w:szCs w:val="20"/>
              </w:rPr>
              <w:t xml:space="preserve">This item is only applicable to group reporting where the group includes an </w:t>
            </w:r>
            <w:proofErr w:type="gramStart"/>
            <w:r w:rsidRPr="008E2278">
              <w:rPr>
                <w:sz w:val="20"/>
                <w:szCs w:val="20"/>
              </w:rPr>
              <w:t>undertaking which</w:t>
            </w:r>
            <w:proofErr w:type="gramEnd"/>
            <w:r w:rsidRPr="008E2278">
              <w:rPr>
                <w:sz w:val="20"/>
                <w:szCs w:val="20"/>
              </w:rPr>
              <w:t xml:space="preserve"> is subject to non–insurance capital requirements, such as a bank, and is the capital requirement calculated in accordance with the appropriate requirements. </w:t>
            </w:r>
          </w:p>
          <w:p w:rsidR="00ED0619" w:rsidRPr="008E2278" w:rsidRDefault="00ED0619" w:rsidP="00182971">
            <w:pPr>
              <w:rPr>
                <w:sz w:val="20"/>
                <w:szCs w:val="20"/>
              </w:rPr>
            </w:pPr>
          </w:p>
          <w:p w:rsidR="003F4902" w:rsidRPr="008E2278" w:rsidRDefault="003F4902" w:rsidP="00182971">
            <w:pPr>
              <w:rPr>
                <w:sz w:val="20"/>
                <w:szCs w:val="20"/>
                <w:lang w:eastAsia="es-ES"/>
              </w:rPr>
            </w:pPr>
            <w:r w:rsidRPr="008E2278">
              <w:rPr>
                <w:sz w:val="20"/>
                <w:szCs w:val="20"/>
              </w:rPr>
              <w:t xml:space="preserve">R0500 </w:t>
            </w:r>
            <w:proofErr w:type="gramStart"/>
            <w:r w:rsidRPr="008E2278">
              <w:rPr>
                <w:sz w:val="20"/>
                <w:szCs w:val="20"/>
              </w:rPr>
              <w:t>is expected</w:t>
            </w:r>
            <w:proofErr w:type="gramEnd"/>
            <w:r w:rsidRPr="008E2278">
              <w:rPr>
                <w:sz w:val="20"/>
                <w:szCs w:val="20"/>
              </w:rPr>
              <w:t xml:space="preserve"> to be equal to the sum of R0510, R0520 and R0530.</w:t>
            </w:r>
          </w:p>
        </w:tc>
      </w:tr>
    </w:tbl>
    <w:p w:rsidR="00F409D2" w:rsidRDefault="00F409D2" w:rsidP="006F600D">
      <w:pPr>
        <w:pStyle w:val="ListParagraph"/>
        <w:rPr>
          <w:rFonts w:ascii="Times New Roman" w:hAnsi="Times New Roman"/>
          <w:noProof/>
          <w:sz w:val="24"/>
          <w:lang w:val="en-GB"/>
        </w:rPr>
      </w:pPr>
      <w:r>
        <w:rPr>
          <w:rFonts w:ascii="Times New Roman" w:hAnsi="Times New Roman"/>
          <w:noProof/>
          <w:sz w:val="24"/>
          <w:lang w:val="en-GB"/>
        </w:rPr>
        <w:t>;</w:t>
      </w:r>
    </w:p>
    <w:p w:rsidR="007B2E07" w:rsidRPr="008E2278" w:rsidRDefault="007B2E07" w:rsidP="0029133B">
      <w:pPr>
        <w:pStyle w:val="ListParagraph"/>
        <w:numPr>
          <w:ilvl w:val="0"/>
          <w:numId w:val="75"/>
        </w:numPr>
        <w:rPr>
          <w:rFonts w:ascii="Times New Roman" w:hAnsi="Times New Roman"/>
          <w:noProof/>
          <w:sz w:val="24"/>
          <w:lang w:val="en-GB"/>
        </w:rPr>
      </w:pPr>
      <w:r w:rsidRPr="008E2278">
        <w:rPr>
          <w:rFonts w:ascii="Times New Roman" w:hAnsi="Times New Roman"/>
          <w:noProof/>
          <w:sz w:val="24"/>
          <w:lang w:val="en-GB"/>
        </w:rPr>
        <w:t xml:space="preserve">In </w:t>
      </w:r>
      <w:r w:rsidR="00E439A1">
        <w:rPr>
          <w:rFonts w:ascii="Times New Roman" w:hAnsi="Times New Roman"/>
          <w:sz w:val="24"/>
          <w:lang w:val="en-GB"/>
        </w:rPr>
        <w:t>template</w:t>
      </w:r>
      <w:r w:rsidR="00A049A5">
        <w:rPr>
          <w:rFonts w:ascii="Times New Roman" w:hAnsi="Times New Roman"/>
          <w:sz w:val="24"/>
          <w:lang w:val="en-GB"/>
        </w:rPr>
        <w:t xml:space="preserve"> </w:t>
      </w:r>
      <w:r w:rsidRPr="008E2278">
        <w:rPr>
          <w:rFonts w:ascii="Times New Roman" w:hAnsi="Times New Roman"/>
          <w:noProof/>
          <w:sz w:val="24"/>
          <w:lang w:val="en-GB"/>
        </w:rPr>
        <w:t xml:space="preserve">S.25.01.R0570/C0100 the </w:t>
      </w:r>
      <w:r w:rsidR="00F663D7">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779" w:type="dxa"/>
        <w:tblCellMar>
          <w:left w:w="70" w:type="dxa"/>
          <w:right w:w="70" w:type="dxa"/>
        </w:tblCellMar>
        <w:tblLook w:val="04A0" w:firstRow="1" w:lastRow="0" w:firstColumn="1" w:lastColumn="0" w:noHBand="0" w:noVBand="1"/>
      </w:tblPr>
      <w:tblGrid>
        <w:gridCol w:w="1458"/>
        <w:gridCol w:w="2621"/>
        <w:gridCol w:w="4568"/>
      </w:tblGrid>
      <w:tr w:rsidR="008E2278" w:rsidRPr="008E2278" w:rsidTr="0022365E">
        <w:trPr>
          <w:trHeight w:val="773"/>
        </w:trPr>
        <w:tc>
          <w:tcPr>
            <w:tcW w:w="1458" w:type="dxa"/>
            <w:tcBorders>
              <w:top w:val="single" w:sz="4" w:space="0" w:color="auto"/>
              <w:left w:val="single" w:sz="4" w:space="0" w:color="auto"/>
              <w:bottom w:val="single" w:sz="4" w:space="0" w:color="auto"/>
              <w:right w:val="single" w:sz="4" w:space="0" w:color="auto"/>
            </w:tcBorders>
            <w:shd w:val="clear" w:color="auto" w:fill="auto"/>
          </w:tcPr>
          <w:p w:rsidR="007B2E07" w:rsidRPr="008E2278" w:rsidRDefault="007B2E07" w:rsidP="00E6045B">
            <w:pPr>
              <w:rPr>
                <w:sz w:val="20"/>
                <w:szCs w:val="20"/>
                <w:lang w:eastAsia="es-ES"/>
              </w:rPr>
            </w:pPr>
            <w:r w:rsidRPr="008E2278">
              <w:rPr>
                <w:sz w:val="20"/>
                <w:szCs w:val="20"/>
              </w:rPr>
              <w:t>R0570/C0100</w:t>
            </w:r>
          </w:p>
        </w:tc>
        <w:tc>
          <w:tcPr>
            <w:tcW w:w="2621" w:type="dxa"/>
            <w:tcBorders>
              <w:top w:val="single" w:sz="4" w:space="0" w:color="auto"/>
              <w:left w:val="single" w:sz="4" w:space="0" w:color="auto"/>
              <w:bottom w:val="single" w:sz="4" w:space="0" w:color="auto"/>
              <w:right w:val="single" w:sz="4" w:space="0" w:color="auto"/>
            </w:tcBorders>
            <w:shd w:val="clear" w:color="auto" w:fill="auto"/>
            <w:hideMark/>
          </w:tcPr>
          <w:p w:rsidR="007B2E07" w:rsidRPr="008E2278" w:rsidRDefault="007B2E07" w:rsidP="00E6045B">
            <w:pPr>
              <w:rPr>
                <w:sz w:val="20"/>
                <w:szCs w:val="20"/>
                <w:lang w:eastAsia="es-ES"/>
              </w:rPr>
            </w:pPr>
            <w:r w:rsidRPr="008E2278">
              <w:rPr>
                <w:sz w:val="20"/>
                <w:szCs w:val="20"/>
              </w:rPr>
              <w:t>Solvency capital requirement</w:t>
            </w:r>
          </w:p>
        </w:tc>
        <w:tc>
          <w:tcPr>
            <w:tcW w:w="4568" w:type="dxa"/>
            <w:tcBorders>
              <w:top w:val="single" w:sz="4" w:space="0" w:color="auto"/>
              <w:left w:val="nil"/>
              <w:bottom w:val="single" w:sz="4" w:space="0" w:color="auto"/>
              <w:right w:val="single" w:sz="4" w:space="0" w:color="auto"/>
            </w:tcBorders>
            <w:shd w:val="clear" w:color="auto" w:fill="auto"/>
            <w:hideMark/>
          </w:tcPr>
          <w:p w:rsidR="007B2E07" w:rsidRPr="008E2278" w:rsidRDefault="007B2E07" w:rsidP="00E6045B">
            <w:pPr>
              <w:rPr>
                <w:sz w:val="20"/>
                <w:szCs w:val="20"/>
              </w:rPr>
            </w:pPr>
            <w:proofErr w:type="gramStart"/>
            <w:r w:rsidRPr="008E2278">
              <w:rPr>
                <w:sz w:val="20"/>
                <w:szCs w:val="20"/>
              </w:rPr>
              <w:t>Overall SCR for all undertakings regardless of the method used.</w:t>
            </w:r>
            <w:proofErr w:type="gramEnd"/>
          </w:p>
          <w:p w:rsidR="007B2E07" w:rsidRPr="008E2278" w:rsidRDefault="007B2E07" w:rsidP="00E6045B">
            <w:pPr>
              <w:rPr>
                <w:sz w:val="20"/>
                <w:szCs w:val="20"/>
              </w:rPr>
            </w:pPr>
            <w:r w:rsidRPr="008E2278">
              <w:rPr>
                <w:sz w:val="20"/>
                <w:szCs w:val="20"/>
              </w:rPr>
              <w:t xml:space="preserve"> </w:t>
            </w:r>
          </w:p>
          <w:p w:rsidR="007B2E07" w:rsidRPr="008E2278" w:rsidRDefault="007B2E07" w:rsidP="00E6045B">
            <w:pPr>
              <w:rPr>
                <w:sz w:val="20"/>
                <w:szCs w:val="20"/>
                <w:lang w:eastAsia="es-ES"/>
              </w:rPr>
            </w:pPr>
            <w:r w:rsidRPr="008E2278">
              <w:rPr>
                <w:sz w:val="20"/>
                <w:szCs w:val="20"/>
              </w:rPr>
              <w:t xml:space="preserve">The total solvency capital requirement </w:t>
            </w:r>
            <w:proofErr w:type="gramStart"/>
            <w:r w:rsidRPr="008E2278">
              <w:rPr>
                <w:sz w:val="20"/>
                <w:szCs w:val="20"/>
              </w:rPr>
              <w:t>is expected</w:t>
            </w:r>
            <w:proofErr w:type="gramEnd"/>
            <w:r w:rsidRPr="008E2278">
              <w:rPr>
                <w:sz w:val="20"/>
                <w:szCs w:val="20"/>
              </w:rPr>
              <w:t xml:space="preserve"> to be equal to the sum of R0220 and R0560.</w:t>
            </w:r>
          </w:p>
        </w:tc>
      </w:tr>
    </w:tbl>
    <w:p w:rsidR="00F409D2" w:rsidRDefault="00F409D2" w:rsidP="006F600D">
      <w:pPr>
        <w:pStyle w:val="ListParagraph"/>
        <w:rPr>
          <w:rFonts w:ascii="Times New Roman" w:hAnsi="Times New Roman"/>
          <w:noProof/>
          <w:sz w:val="24"/>
          <w:lang w:val="en-GB"/>
        </w:rPr>
      </w:pPr>
      <w:r>
        <w:rPr>
          <w:rFonts w:ascii="Times New Roman" w:hAnsi="Times New Roman"/>
          <w:noProof/>
          <w:sz w:val="24"/>
          <w:lang w:val="en-GB"/>
        </w:rPr>
        <w:t>;</w:t>
      </w:r>
    </w:p>
    <w:p w:rsidR="00DD2263" w:rsidRPr="008E2278" w:rsidRDefault="00DD2263" w:rsidP="0029133B">
      <w:pPr>
        <w:pStyle w:val="ListParagraph"/>
        <w:numPr>
          <w:ilvl w:val="0"/>
          <w:numId w:val="75"/>
        </w:numPr>
        <w:rPr>
          <w:rFonts w:ascii="Times New Roman" w:hAnsi="Times New Roman"/>
          <w:noProof/>
          <w:sz w:val="24"/>
          <w:lang w:val="en-GB"/>
        </w:rPr>
      </w:pPr>
      <w:r w:rsidRPr="008E2278">
        <w:rPr>
          <w:rFonts w:ascii="Times New Roman" w:hAnsi="Times New Roman"/>
          <w:noProof/>
          <w:sz w:val="24"/>
          <w:lang w:val="en-GB"/>
        </w:rPr>
        <w:t xml:space="preserve">In </w:t>
      </w:r>
      <w:r w:rsidR="00E439A1">
        <w:rPr>
          <w:rFonts w:ascii="Times New Roman" w:hAnsi="Times New Roman"/>
          <w:sz w:val="24"/>
          <w:lang w:val="en-GB"/>
        </w:rPr>
        <w:t>template</w:t>
      </w:r>
      <w:r w:rsidR="00A049A5">
        <w:rPr>
          <w:rFonts w:ascii="Times New Roman" w:hAnsi="Times New Roman"/>
          <w:sz w:val="24"/>
          <w:lang w:val="en-GB"/>
        </w:rPr>
        <w:t xml:space="preserve"> </w:t>
      </w:r>
      <w:r w:rsidRPr="008E2278">
        <w:rPr>
          <w:rFonts w:ascii="Times New Roman" w:hAnsi="Times New Roman"/>
          <w:noProof/>
          <w:sz w:val="24"/>
          <w:lang w:val="en-GB"/>
        </w:rPr>
        <w:t xml:space="preserve">S.25.02.R0220/C0100 the </w:t>
      </w:r>
      <w:r w:rsidR="00F663D7">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4"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8"/>
        <w:gridCol w:w="2551"/>
        <w:gridCol w:w="4605"/>
      </w:tblGrid>
      <w:tr w:rsidR="008E2278" w:rsidRPr="008E2278" w:rsidDel="00D32D6A" w:rsidTr="0022365E">
        <w:trPr>
          <w:trHeight w:val="567"/>
        </w:trPr>
        <w:tc>
          <w:tcPr>
            <w:tcW w:w="1488" w:type="dxa"/>
            <w:shd w:val="clear" w:color="000000" w:fill="FFFFFF"/>
          </w:tcPr>
          <w:p w:rsidR="00DD2263" w:rsidRPr="008E2278" w:rsidDel="00D32D6A" w:rsidRDefault="00DD2263" w:rsidP="00226131">
            <w:pPr>
              <w:rPr>
                <w:sz w:val="20"/>
                <w:szCs w:val="20"/>
                <w:lang w:eastAsia="es-ES"/>
              </w:rPr>
            </w:pPr>
            <w:r w:rsidRPr="008E2278">
              <w:rPr>
                <w:sz w:val="20"/>
                <w:szCs w:val="20"/>
                <w:lang w:eastAsia="es-ES"/>
              </w:rPr>
              <w:t>R0220/C0100</w:t>
            </w:r>
          </w:p>
        </w:tc>
        <w:tc>
          <w:tcPr>
            <w:tcW w:w="2551" w:type="dxa"/>
            <w:shd w:val="clear" w:color="000000" w:fill="FFFFFF"/>
          </w:tcPr>
          <w:p w:rsidR="00DD2263" w:rsidRPr="008E2278" w:rsidDel="00D32D6A" w:rsidRDefault="00DD2263" w:rsidP="00226131">
            <w:pPr>
              <w:rPr>
                <w:sz w:val="20"/>
                <w:szCs w:val="20"/>
                <w:lang w:eastAsia="es-ES"/>
              </w:rPr>
            </w:pPr>
            <w:r w:rsidRPr="008E2278">
              <w:rPr>
                <w:sz w:val="20"/>
                <w:szCs w:val="20"/>
                <w:lang w:eastAsia="es-ES"/>
              </w:rPr>
              <w:t>Solvency capital requirement</w:t>
            </w:r>
          </w:p>
        </w:tc>
        <w:tc>
          <w:tcPr>
            <w:tcW w:w="4605" w:type="dxa"/>
            <w:shd w:val="clear" w:color="000000" w:fill="FFFFFF"/>
          </w:tcPr>
          <w:p w:rsidR="00DD2263" w:rsidRPr="008E2278" w:rsidDel="00D32D6A" w:rsidRDefault="004F1ACF" w:rsidP="004F1ACF">
            <w:pPr>
              <w:rPr>
                <w:sz w:val="20"/>
                <w:szCs w:val="20"/>
                <w:lang w:eastAsia="es-ES"/>
              </w:rPr>
            </w:pPr>
            <w:r w:rsidRPr="008E2278">
              <w:rPr>
                <w:sz w:val="20"/>
                <w:szCs w:val="20"/>
              </w:rPr>
              <w:t xml:space="preserve">Overall capital requirement including capital add-ons </w:t>
            </w:r>
            <w:r w:rsidR="00DD2263" w:rsidRPr="008E2278">
              <w:rPr>
                <w:sz w:val="20"/>
                <w:szCs w:val="20"/>
              </w:rPr>
              <w:t xml:space="preserve">for undertakings under method 1 as defined in Article 230 of Directive 2009/138/EC. </w:t>
            </w:r>
            <w:proofErr w:type="gramStart"/>
            <w:r w:rsidR="00DD2263" w:rsidRPr="008E2278">
              <w:rPr>
                <w:rFonts w:eastAsia="Calibri"/>
                <w:sz w:val="20"/>
                <w:szCs w:val="20"/>
                <w:lang w:eastAsia="en-US"/>
              </w:rPr>
              <w:t xml:space="preserve">It  </w:t>
            </w:r>
            <w:r w:rsidR="009A32AF">
              <w:rPr>
                <w:rFonts w:eastAsia="Calibri"/>
                <w:sz w:val="20"/>
                <w:szCs w:val="20"/>
                <w:lang w:eastAsia="en-US"/>
              </w:rPr>
              <w:t>shall</w:t>
            </w:r>
            <w:proofErr w:type="gramEnd"/>
            <w:r w:rsidR="00DD2263" w:rsidRPr="008E2278">
              <w:rPr>
                <w:rFonts w:eastAsia="Calibri"/>
                <w:sz w:val="20"/>
                <w:szCs w:val="20"/>
                <w:lang w:eastAsia="en-US"/>
              </w:rPr>
              <w:t xml:space="preserve"> include all components of the consolidated SCR, including capital requirements of undertakings from other financial sectors, capital requirement for non-controlled participation requirements and capital requirement for residual undertakings.</w:t>
            </w:r>
          </w:p>
        </w:tc>
      </w:tr>
    </w:tbl>
    <w:p w:rsidR="00F409D2" w:rsidRDefault="00F409D2" w:rsidP="006F600D">
      <w:pPr>
        <w:pStyle w:val="ListParagraph"/>
        <w:rPr>
          <w:rFonts w:ascii="Times New Roman" w:hAnsi="Times New Roman"/>
          <w:noProof/>
          <w:sz w:val="24"/>
          <w:lang w:val="en-GB"/>
        </w:rPr>
      </w:pPr>
      <w:r>
        <w:rPr>
          <w:rFonts w:ascii="Times New Roman" w:hAnsi="Times New Roman"/>
          <w:noProof/>
          <w:sz w:val="24"/>
          <w:lang w:val="en-GB"/>
        </w:rPr>
        <w:t>;</w:t>
      </w:r>
    </w:p>
    <w:p w:rsidR="007B2E07" w:rsidRPr="008E2278" w:rsidRDefault="007B2E07" w:rsidP="0029133B">
      <w:pPr>
        <w:pStyle w:val="ListParagraph"/>
        <w:numPr>
          <w:ilvl w:val="0"/>
          <w:numId w:val="75"/>
        </w:numPr>
        <w:rPr>
          <w:rFonts w:ascii="Times New Roman" w:hAnsi="Times New Roman"/>
          <w:noProof/>
          <w:sz w:val="24"/>
          <w:lang w:val="en-GB"/>
        </w:rPr>
      </w:pPr>
      <w:r w:rsidRPr="008E2278">
        <w:rPr>
          <w:rFonts w:ascii="Times New Roman" w:hAnsi="Times New Roman"/>
          <w:noProof/>
          <w:sz w:val="24"/>
          <w:lang w:val="en-GB"/>
        </w:rPr>
        <w:t xml:space="preserve">In </w:t>
      </w:r>
      <w:r w:rsidR="00E439A1">
        <w:rPr>
          <w:rFonts w:ascii="Times New Roman" w:hAnsi="Times New Roman"/>
          <w:sz w:val="24"/>
          <w:lang w:val="en-GB"/>
        </w:rPr>
        <w:t>template</w:t>
      </w:r>
      <w:r w:rsidR="00A049A5">
        <w:rPr>
          <w:rFonts w:ascii="Times New Roman" w:hAnsi="Times New Roman"/>
          <w:sz w:val="24"/>
          <w:lang w:val="en-GB"/>
        </w:rPr>
        <w:t xml:space="preserve"> </w:t>
      </w:r>
      <w:r w:rsidRPr="008E2278">
        <w:rPr>
          <w:rFonts w:ascii="Times New Roman" w:hAnsi="Times New Roman"/>
          <w:noProof/>
          <w:sz w:val="24"/>
          <w:lang w:val="en-GB"/>
        </w:rPr>
        <w:t xml:space="preserve">S.25.02.R0500/C0100 the </w:t>
      </w:r>
      <w:r w:rsidR="00F663D7">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779" w:type="dxa"/>
        <w:tblCellMar>
          <w:left w:w="70" w:type="dxa"/>
          <w:right w:w="70" w:type="dxa"/>
        </w:tblCellMar>
        <w:tblLook w:val="04A0" w:firstRow="1" w:lastRow="0" w:firstColumn="1" w:lastColumn="0" w:noHBand="0" w:noVBand="1"/>
      </w:tblPr>
      <w:tblGrid>
        <w:gridCol w:w="1458"/>
        <w:gridCol w:w="2629"/>
        <w:gridCol w:w="4560"/>
      </w:tblGrid>
      <w:tr w:rsidR="008E2278" w:rsidRPr="008E2278" w:rsidTr="0022365E">
        <w:trPr>
          <w:trHeight w:val="1735"/>
        </w:trPr>
        <w:tc>
          <w:tcPr>
            <w:tcW w:w="1458" w:type="dxa"/>
            <w:tcBorders>
              <w:top w:val="single" w:sz="4" w:space="0" w:color="auto"/>
              <w:left w:val="single" w:sz="4" w:space="0" w:color="auto"/>
              <w:bottom w:val="single" w:sz="4" w:space="0" w:color="auto"/>
              <w:right w:val="single" w:sz="4" w:space="0" w:color="auto"/>
            </w:tcBorders>
            <w:shd w:val="clear" w:color="auto" w:fill="auto"/>
          </w:tcPr>
          <w:p w:rsidR="007B2E07" w:rsidRPr="008E2278" w:rsidRDefault="007B2E07" w:rsidP="00E6045B">
            <w:pPr>
              <w:rPr>
                <w:sz w:val="20"/>
                <w:szCs w:val="20"/>
                <w:lang w:eastAsia="es-ES"/>
              </w:rPr>
            </w:pPr>
            <w:r w:rsidRPr="008E2278">
              <w:rPr>
                <w:sz w:val="20"/>
                <w:szCs w:val="20"/>
              </w:rPr>
              <w:t>R0500/C0100</w:t>
            </w:r>
          </w:p>
        </w:tc>
        <w:tc>
          <w:tcPr>
            <w:tcW w:w="2629" w:type="dxa"/>
            <w:tcBorders>
              <w:top w:val="single" w:sz="4" w:space="0" w:color="auto"/>
              <w:left w:val="single" w:sz="4" w:space="0" w:color="auto"/>
              <w:bottom w:val="single" w:sz="4" w:space="0" w:color="auto"/>
              <w:right w:val="single" w:sz="4" w:space="0" w:color="auto"/>
            </w:tcBorders>
            <w:shd w:val="clear" w:color="auto" w:fill="auto"/>
            <w:hideMark/>
          </w:tcPr>
          <w:p w:rsidR="007B2E07" w:rsidRPr="008E2278" w:rsidRDefault="007B2E07" w:rsidP="00E6045B">
            <w:pPr>
              <w:rPr>
                <w:sz w:val="20"/>
                <w:szCs w:val="20"/>
                <w:lang w:eastAsia="es-ES"/>
              </w:rPr>
            </w:pPr>
            <w:r w:rsidRPr="008E2278">
              <w:rPr>
                <w:sz w:val="20"/>
                <w:szCs w:val="20"/>
              </w:rPr>
              <w:t>Capital requirement for other financial sectors (Non–insurance capital requirements)</w:t>
            </w:r>
          </w:p>
        </w:tc>
        <w:tc>
          <w:tcPr>
            <w:tcW w:w="4560" w:type="dxa"/>
            <w:tcBorders>
              <w:top w:val="single" w:sz="4" w:space="0" w:color="auto"/>
              <w:left w:val="nil"/>
              <w:bottom w:val="single" w:sz="4" w:space="0" w:color="auto"/>
              <w:right w:val="single" w:sz="4" w:space="0" w:color="auto"/>
            </w:tcBorders>
            <w:shd w:val="clear" w:color="auto" w:fill="auto"/>
            <w:hideMark/>
          </w:tcPr>
          <w:p w:rsidR="007B2E07" w:rsidRPr="008E2278" w:rsidRDefault="007B2E07" w:rsidP="00E6045B">
            <w:pPr>
              <w:rPr>
                <w:sz w:val="20"/>
                <w:szCs w:val="20"/>
              </w:rPr>
            </w:pPr>
            <w:proofErr w:type="gramStart"/>
            <w:r w:rsidRPr="008E2278">
              <w:rPr>
                <w:sz w:val="20"/>
                <w:szCs w:val="20"/>
              </w:rPr>
              <w:t>Amount of capital requirement for other financial sectors.</w:t>
            </w:r>
            <w:proofErr w:type="gramEnd"/>
            <w:r w:rsidRPr="008E2278">
              <w:rPr>
                <w:sz w:val="20"/>
                <w:szCs w:val="20"/>
              </w:rPr>
              <w:t xml:space="preserve"> </w:t>
            </w:r>
          </w:p>
          <w:p w:rsidR="007B2E07" w:rsidRPr="008E2278" w:rsidRDefault="007B2E07" w:rsidP="00E6045B">
            <w:pPr>
              <w:rPr>
                <w:sz w:val="20"/>
                <w:szCs w:val="20"/>
              </w:rPr>
            </w:pPr>
          </w:p>
          <w:p w:rsidR="007B2E07" w:rsidRPr="008E2278" w:rsidRDefault="007B2E07" w:rsidP="00E6045B">
            <w:pPr>
              <w:rPr>
                <w:sz w:val="20"/>
                <w:szCs w:val="20"/>
              </w:rPr>
            </w:pPr>
            <w:r w:rsidRPr="008E2278">
              <w:rPr>
                <w:sz w:val="20"/>
                <w:szCs w:val="20"/>
              </w:rPr>
              <w:t xml:space="preserve">This item is only applicable to group reporting where the group includes an </w:t>
            </w:r>
            <w:proofErr w:type="gramStart"/>
            <w:r w:rsidRPr="008E2278">
              <w:rPr>
                <w:sz w:val="20"/>
                <w:szCs w:val="20"/>
              </w:rPr>
              <w:t>undertaking which</w:t>
            </w:r>
            <w:proofErr w:type="gramEnd"/>
            <w:r w:rsidRPr="008E2278">
              <w:rPr>
                <w:sz w:val="20"/>
                <w:szCs w:val="20"/>
              </w:rPr>
              <w:t xml:space="preserve"> is subject to non–insurance capital requirements, such as a bank, and is the capital requirement calculated in accordance with the appropriate requirements. </w:t>
            </w:r>
          </w:p>
          <w:p w:rsidR="007B2E07" w:rsidRPr="008E2278" w:rsidRDefault="007B2E07" w:rsidP="00E6045B">
            <w:pPr>
              <w:rPr>
                <w:sz w:val="20"/>
                <w:szCs w:val="20"/>
              </w:rPr>
            </w:pPr>
          </w:p>
          <w:p w:rsidR="007B2E07" w:rsidRPr="008E2278" w:rsidRDefault="007B2E07" w:rsidP="00E6045B">
            <w:pPr>
              <w:rPr>
                <w:sz w:val="20"/>
                <w:szCs w:val="20"/>
                <w:lang w:eastAsia="es-ES"/>
              </w:rPr>
            </w:pPr>
            <w:r w:rsidRPr="008E2278">
              <w:rPr>
                <w:sz w:val="20"/>
                <w:szCs w:val="20"/>
              </w:rPr>
              <w:t xml:space="preserve">R0500 </w:t>
            </w:r>
            <w:proofErr w:type="gramStart"/>
            <w:r w:rsidRPr="008E2278">
              <w:rPr>
                <w:sz w:val="20"/>
                <w:szCs w:val="20"/>
              </w:rPr>
              <w:t>is expected</w:t>
            </w:r>
            <w:proofErr w:type="gramEnd"/>
            <w:r w:rsidRPr="008E2278">
              <w:rPr>
                <w:sz w:val="20"/>
                <w:szCs w:val="20"/>
              </w:rPr>
              <w:t xml:space="preserve"> to be equal to the sum of R0510, R0520 and R0530.</w:t>
            </w:r>
          </w:p>
        </w:tc>
      </w:tr>
    </w:tbl>
    <w:p w:rsidR="00F409D2" w:rsidRDefault="00F409D2" w:rsidP="006F600D">
      <w:pPr>
        <w:pStyle w:val="ListParagraph"/>
        <w:rPr>
          <w:rFonts w:ascii="Times New Roman" w:hAnsi="Times New Roman"/>
          <w:noProof/>
          <w:sz w:val="24"/>
          <w:lang w:val="en-GB"/>
        </w:rPr>
      </w:pPr>
      <w:r>
        <w:rPr>
          <w:rFonts w:ascii="Times New Roman" w:hAnsi="Times New Roman"/>
          <w:noProof/>
          <w:sz w:val="24"/>
          <w:lang w:val="en-GB"/>
        </w:rPr>
        <w:t>;</w:t>
      </w:r>
    </w:p>
    <w:p w:rsidR="007B2E07" w:rsidRPr="008E2278" w:rsidRDefault="007B2E07" w:rsidP="0029133B">
      <w:pPr>
        <w:pStyle w:val="ListParagraph"/>
        <w:numPr>
          <w:ilvl w:val="0"/>
          <w:numId w:val="75"/>
        </w:numPr>
        <w:rPr>
          <w:rFonts w:ascii="Times New Roman" w:hAnsi="Times New Roman"/>
          <w:noProof/>
          <w:sz w:val="24"/>
          <w:lang w:val="en-GB"/>
        </w:rPr>
      </w:pPr>
      <w:r w:rsidRPr="008E2278">
        <w:rPr>
          <w:rFonts w:ascii="Times New Roman" w:hAnsi="Times New Roman"/>
          <w:noProof/>
          <w:sz w:val="24"/>
          <w:lang w:val="en-GB"/>
        </w:rPr>
        <w:t xml:space="preserve">In </w:t>
      </w:r>
      <w:r w:rsidR="00E439A1">
        <w:rPr>
          <w:rFonts w:ascii="Times New Roman" w:hAnsi="Times New Roman"/>
          <w:sz w:val="24"/>
          <w:lang w:val="en-GB"/>
        </w:rPr>
        <w:t>template</w:t>
      </w:r>
      <w:r w:rsidR="00A049A5">
        <w:rPr>
          <w:rFonts w:ascii="Times New Roman" w:hAnsi="Times New Roman"/>
          <w:sz w:val="24"/>
          <w:lang w:val="en-GB"/>
        </w:rPr>
        <w:t xml:space="preserve"> </w:t>
      </w:r>
      <w:r w:rsidRPr="008E2278">
        <w:rPr>
          <w:rFonts w:ascii="Times New Roman" w:hAnsi="Times New Roman"/>
          <w:noProof/>
          <w:sz w:val="24"/>
          <w:lang w:val="en-GB"/>
        </w:rPr>
        <w:t xml:space="preserve">S.25.02.R0570/C0100 the </w:t>
      </w:r>
      <w:r w:rsidR="00F663D7">
        <w:rPr>
          <w:rFonts w:ascii="Times New Roman" w:hAnsi="Times New Roman"/>
          <w:noProof/>
          <w:sz w:val="24"/>
          <w:lang w:val="en-GB"/>
        </w:rPr>
        <w:t>row is</w:t>
      </w:r>
      <w:r w:rsidRPr="008E2278">
        <w:rPr>
          <w:rFonts w:ascii="Times New Roman" w:hAnsi="Times New Roman"/>
          <w:noProof/>
          <w:sz w:val="24"/>
          <w:lang w:val="en-GB"/>
        </w:rPr>
        <w:t xml:space="preserve"> replaced by the following:</w:t>
      </w:r>
    </w:p>
    <w:tbl>
      <w:tblPr>
        <w:tblW w:w="8647" w:type="dxa"/>
        <w:tblInd w:w="779" w:type="dxa"/>
        <w:tblCellMar>
          <w:left w:w="70" w:type="dxa"/>
          <w:right w:w="70" w:type="dxa"/>
        </w:tblCellMar>
        <w:tblLook w:val="04A0" w:firstRow="1" w:lastRow="0" w:firstColumn="1" w:lastColumn="0" w:noHBand="0" w:noVBand="1"/>
      </w:tblPr>
      <w:tblGrid>
        <w:gridCol w:w="1458"/>
        <w:gridCol w:w="2621"/>
        <w:gridCol w:w="4568"/>
      </w:tblGrid>
      <w:tr w:rsidR="007B2E07" w:rsidRPr="008E2278" w:rsidTr="0022365E">
        <w:trPr>
          <w:trHeight w:val="773"/>
        </w:trPr>
        <w:tc>
          <w:tcPr>
            <w:tcW w:w="1458" w:type="dxa"/>
            <w:tcBorders>
              <w:top w:val="single" w:sz="4" w:space="0" w:color="auto"/>
              <w:left w:val="single" w:sz="4" w:space="0" w:color="auto"/>
              <w:bottom w:val="single" w:sz="4" w:space="0" w:color="auto"/>
              <w:right w:val="single" w:sz="4" w:space="0" w:color="auto"/>
            </w:tcBorders>
            <w:shd w:val="clear" w:color="auto" w:fill="auto"/>
          </w:tcPr>
          <w:p w:rsidR="007B2E07" w:rsidRPr="008E2278" w:rsidRDefault="007B2E07" w:rsidP="00E6045B">
            <w:pPr>
              <w:rPr>
                <w:sz w:val="20"/>
                <w:szCs w:val="20"/>
                <w:lang w:eastAsia="es-ES"/>
              </w:rPr>
            </w:pPr>
            <w:r w:rsidRPr="008E2278">
              <w:rPr>
                <w:sz w:val="20"/>
                <w:szCs w:val="20"/>
              </w:rPr>
              <w:t>R0570/C0100</w:t>
            </w:r>
          </w:p>
        </w:tc>
        <w:tc>
          <w:tcPr>
            <w:tcW w:w="2621" w:type="dxa"/>
            <w:tcBorders>
              <w:top w:val="single" w:sz="4" w:space="0" w:color="auto"/>
              <w:left w:val="single" w:sz="4" w:space="0" w:color="auto"/>
              <w:bottom w:val="single" w:sz="4" w:space="0" w:color="auto"/>
              <w:right w:val="single" w:sz="4" w:space="0" w:color="auto"/>
            </w:tcBorders>
            <w:shd w:val="clear" w:color="auto" w:fill="auto"/>
            <w:hideMark/>
          </w:tcPr>
          <w:p w:rsidR="007B2E07" w:rsidRPr="008E2278" w:rsidRDefault="007B2E07" w:rsidP="00E6045B">
            <w:pPr>
              <w:rPr>
                <w:sz w:val="20"/>
                <w:szCs w:val="20"/>
                <w:lang w:eastAsia="es-ES"/>
              </w:rPr>
            </w:pPr>
            <w:r w:rsidRPr="008E2278">
              <w:rPr>
                <w:sz w:val="20"/>
                <w:szCs w:val="20"/>
              </w:rPr>
              <w:t>Solvency capital requirement</w:t>
            </w:r>
          </w:p>
        </w:tc>
        <w:tc>
          <w:tcPr>
            <w:tcW w:w="4568" w:type="dxa"/>
            <w:tcBorders>
              <w:top w:val="single" w:sz="4" w:space="0" w:color="auto"/>
              <w:left w:val="nil"/>
              <w:bottom w:val="single" w:sz="4" w:space="0" w:color="auto"/>
              <w:right w:val="single" w:sz="4" w:space="0" w:color="auto"/>
            </w:tcBorders>
            <w:shd w:val="clear" w:color="auto" w:fill="auto"/>
            <w:hideMark/>
          </w:tcPr>
          <w:p w:rsidR="007B2E07" w:rsidRPr="008E2278" w:rsidRDefault="007B2E07" w:rsidP="00E6045B">
            <w:pPr>
              <w:rPr>
                <w:sz w:val="20"/>
                <w:szCs w:val="20"/>
              </w:rPr>
            </w:pPr>
            <w:proofErr w:type="gramStart"/>
            <w:r w:rsidRPr="008E2278">
              <w:rPr>
                <w:sz w:val="20"/>
                <w:szCs w:val="20"/>
              </w:rPr>
              <w:t>Overall SCR for all undertakings regardless of the method used.</w:t>
            </w:r>
            <w:proofErr w:type="gramEnd"/>
          </w:p>
          <w:p w:rsidR="007B2E07" w:rsidRPr="008E2278" w:rsidRDefault="007B2E07" w:rsidP="00E6045B">
            <w:pPr>
              <w:rPr>
                <w:sz w:val="20"/>
                <w:szCs w:val="20"/>
              </w:rPr>
            </w:pPr>
            <w:r w:rsidRPr="008E2278">
              <w:rPr>
                <w:sz w:val="20"/>
                <w:szCs w:val="20"/>
              </w:rPr>
              <w:t xml:space="preserve"> </w:t>
            </w:r>
          </w:p>
          <w:p w:rsidR="007B2E07" w:rsidRPr="008E2278" w:rsidRDefault="007B2E07" w:rsidP="00E6045B">
            <w:pPr>
              <w:rPr>
                <w:sz w:val="20"/>
                <w:szCs w:val="20"/>
                <w:lang w:eastAsia="es-ES"/>
              </w:rPr>
            </w:pPr>
            <w:r w:rsidRPr="008E2278">
              <w:rPr>
                <w:sz w:val="20"/>
                <w:szCs w:val="20"/>
              </w:rPr>
              <w:t xml:space="preserve">The total solvency capital requirement </w:t>
            </w:r>
            <w:proofErr w:type="gramStart"/>
            <w:r w:rsidRPr="008E2278">
              <w:rPr>
                <w:sz w:val="20"/>
                <w:szCs w:val="20"/>
              </w:rPr>
              <w:t>is expected</w:t>
            </w:r>
            <w:proofErr w:type="gramEnd"/>
            <w:r w:rsidRPr="008E2278">
              <w:rPr>
                <w:sz w:val="20"/>
                <w:szCs w:val="20"/>
              </w:rPr>
              <w:t xml:space="preserve"> to be equal to the sum of R0220 and R0560.</w:t>
            </w:r>
          </w:p>
        </w:tc>
      </w:tr>
    </w:tbl>
    <w:p w:rsidR="001A5FFA" w:rsidRPr="0022365E" w:rsidRDefault="0022365E" w:rsidP="00D40E88">
      <w:pPr>
        <w:pStyle w:val="Annexetitre"/>
        <w:jc w:val="left"/>
        <w:rPr>
          <w:rFonts w:eastAsiaTheme="majorEastAsia"/>
          <w:b w:val="0"/>
          <w:bCs/>
          <w:u w:val="none"/>
        </w:rPr>
      </w:pPr>
      <w:r w:rsidRPr="0022365E">
        <w:rPr>
          <w:rFonts w:eastAsiaTheme="majorEastAsia"/>
          <w:b w:val="0"/>
          <w:bCs/>
          <w:u w:val="none"/>
        </w:rPr>
        <w:t>.</w:t>
      </w:r>
    </w:p>
    <w:sectPr w:rsidR="001A5FFA" w:rsidRPr="0022365E" w:rsidSect="00D61264">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09" w:footer="357" w:gutter="0"/>
      <w:pgNumType w:start="2"/>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CE2E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3DF" w:rsidRDefault="000833DF" w:rsidP="001320FD">
      <w:r>
        <w:separator/>
      </w:r>
    </w:p>
  </w:endnote>
  <w:endnote w:type="continuationSeparator" w:id="0">
    <w:p w:rsidR="000833DF" w:rsidRDefault="000833DF" w:rsidP="001320FD">
      <w:r>
        <w:continuationSeparator/>
      </w:r>
    </w:p>
  </w:endnote>
  <w:endnote w:type="continuationNotice" w:id="1">
    <w:p w:rsidR="000833DF" w:rsidRDefault="000833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Verdan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6C9" w:rsidRDefault="00C866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9385957"/>
      <w:docPartObj>
        <w:docPartGallery w:val="Page Numbers (Bottom of Page)"/>
        <w:docPartUnique/>
      </w:docPartObj>
    </w:sdtPr>
    <w:sdtEndPr>
      <w:rPr>
        <w:noProof/>
      </w:rPr>
    </w:sdtEndPr>
    <w:sdtContent>
      <w:p w:rsidR="00B24200" w:rsidRDefault="00B24200">
        <w:pPr>
          <w:pStyle w:val="Footer"/>
          <w:jc w:val="right"/>
        </w:pPr>
        <w:r>
          <w:fldChar w:fldCharType="begin"/>
        </w:r>
        <w:r>
          <w:instrText xml:space="preserve"> PAGE   \* MERGEFORMAT </w:instrText>
        </w:r>
        <w:r>
          <w:fldChar w:fldCharType="separate"/>
        </w:r>
        <w:r w:rsidR="008412FC">
          <w:rPr>
            <w:noProof/>
          </w:rPr>
          <w:t>18</w:t>
        </w:r>
        <w:r>
          <w:rPr>
            <w:noProof/>
          </w:rPr>
          <w:fldChar w:fldCharType="end"/>
        </w:r>
      </w:p>
    </w:sdtContent>
  </w:sdt>
  <w:p w:rsidR="00B24200" w:rsidRDefault="00B2420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6438568"/>
      <w:docPartObj>
        <w:docPartGallery w:val="Page Numbers (Bottom of Page)"/>
        <w:docPartUnique/>
      </w:docPartObj>
    </w:sdtPr>
    <w:sdtEndPr>
      <w:rPr>
        <w:noProof/>
      </w:rPr>
    </w:sdtEndPr>
    <w:sdtContent>
      <w:p w:rsidR="00B24200" w:rsidRDefault="00B24200" w:rsidP="00D61264">
        <w:pPr>
          <w:pStyle w:val="Footer"/>
          <w:jc w:val="right"/>
        </w:pPr>
        <w:r>
          <w:fldChar w:fldCharType="begin"/>
        </w:r>
        <w:r>
          <w:instrText xml:space="preserve"> PAGE   \* MERGEFORMAT </w:instrText>
        </w:r>
        <w:r>
          <w:fldChar w:fldCharType="separate"/>
        </w:r>
        <w:r w:rsidR="008412FC">
          <w:rPr>
            <w:noProof/>
          </w:rPr>
          <w:t>2</w:t>
        </w:r>
        <w:r>
          <w:rPr>
            <w:noProof/>
          </w:rPr>
          <w:fldChar w:fldCharType="end"/>
        </w:r>
      </w:p>
    </w:sdtContent>
  </w:sdt>
  <w:p w:rsidR="00B24200" w:rsidRDefault="00B242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3DF" w:rsidRDefault="000833DF" w:rsidP="001320FD">
      <w:r>
        <w:separator/>
      </w:r>
    </w:p>
  </w:footnote>
  <w:footnote w:type="continuationSeparator" w:id="0">
    <w:p w:rsidR="000833DF" w:rsidRDefault="000833DF" w:rsidP="001320FD">
      <w:r>
        <w:continuationSeparator/>
      </w:r>
    </w:p>
  </w:footnote>
  <w:footnote w:type="continuationNotice" w:id="1">
    <w:p w:rsidR="000833DF" w:rsidRDefault="000833DF"/>
  </w:footnote>
  <w:footnote w:id="2">
    <w:p w:rsidR="00B24200" w:rsidRPr="006833BE" w:rsidRDefault="00B24200" w:rsidP="00884E5E">
      <w:pPr>
        <w:pStyle w:val="FootnoteText"/>
        <w:rPr>
          <w:sz w:val="18"/>
          <w:szCs w:val="18"/>
          <w:lang w:val="en-GB"/>
        </w:rPr>
      </w:pPr>
      <w:r>
        <w:rPr>
          <w:rStyle w:val="FootnoteReference"/>
        </w:rPr>
        <w:footnoteRef/>
      </w:r>
      <w:r w:rsidRPr="00B63F7E">
        <w:rPr>
          <w:lang w:val="en-GB"/>
        </w:rPr>
        <w:t xml:space="preserve"> </w:t>
      </w:r>
      <w:r w:rsidRPr="006833BE">
        <w:rPr>
          <w:rFonts w:ascii="Times New Roman" w:hAnsi="Times New Roman"/>
          <w:sz w:val="18"/>
          <w:szCs w:val="18"/>
          <w:lang w:val="en-GB"/>
        </w:rPr>
        <w:t>OJ L 335, 17.12.2009, p.</w:t>
      </w:r>
      <w:r>
        <w:rPr>
          <w:rFonts w:ascii="Times New Roman" w:hAnsi="Times New Roman"/>
          <w:sz w:val="18"/>
          <w:szCs w:val="18"/>
          <w:lang w:val="en-GB"/>
        </w:rPr>
        <w:t xml:space="preserve"> </w:t>
      </w:r>
      <w:r w:rsidRPr="006833BE">
        <w:rPr>
          <w:rFonts w:ascii="Times New Roman" w:hAnsi="Times New Roman"/>
          <w:sz w:val="18"/>
          <w:szCs w:val="18"/>
          <w:lang w:val="en-GB"/>
        </w:rPr>
        <w:t>1.</w:t>
      </w:r>
    </w:p>
  </w:footnote>
  <w:footnote w:id="3">
    <w:p w:rsidR="00B24200" w:rsidRPr="007E4F3B" w:rsidRDefault="00B24200" w:rsidP="00216DB3">
      <w:pPr>
        <w:pStyle w:val="FootnoteText"/>
        <w:rPr>
          <w:rFonts w:ascii="Times New Roman" w:hAnsi="Times New Roman"/>
          <w:sz w:val="18"/>
          <w:szCs w:val="18"/>
          <w:lang w:val="en-GB"/>
        </w:rPr>
      </w:pPr>
      <w:r>
        <w:rPr>
          <w:rStyle w:val="FootnoteReference"/>
        </w:rPr>
        <w:footnoteRef/>
      </w:r>
      <w:r w:rsidRPr="00B63F7E">
        <w:rPr>
          <w:lang w:val="en-GB"/>
        </w:rPr>
        <w:t xml:space="preserve"> </w:t>
      </w:r>
      <w:r w:rsidRPr="00B63F7E">
        <w:rPr>
          <w:rFonts w:ascii="Times New Roman" w:hAnsi="Times New Roman"/>
          <w:sz w:val="18"/>
          <w:szCs w:val="18"/>
          <w:lang w:val="en-GB"/>
        </w:rPr>
        <w:t>Regulation (EU) No 1094/2010 of the European Parliament and of the Council of 24 November 2010 establishing a European Supervisory Authority (European Insurance and Occupational Pensions Authority), amending Decision No 716/2009/EC and repealing Commission Decision 2009/79/EC (OJ L 331, 15.12.2010, p. 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6C9" w:rsidRDefault="00C866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6C9" w:rsidRDefault="00C866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6C9" w:rsidRDefault="00C866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4C40F20"/>
    <w:lvl w:ilvl="0">
      <w:start w:val="1"/>
      <w:numFmt w:val="decimal"/>
      <w:lvlText w:val="%1."/>
      <w:lvlJc w:val="left"/>
      <w:pPr>
        <w:tabs>
          <w:tab w:val="num" w:pos="1492"/>
        </w:tabs>
        <w:ind w:left="1492" w:hanging="360"/>
      </w:pPr>
    </w:lvl>
  </w:abstractNum>
  <w:abstractNum w:abstractNumId="1">
    <w:nsid w:val="FFFFFF7D"/>
    <w:multiLevelType w:val="singleLevel"/>
    <w:tmpl w:val="16E24DCC"/>
    <w:lvl w:ilvl="0">
      <w:start w:val="1"/>
      <w:numFmt w:val="decimal"/>
      <w:lvlText w:val="%1."/>
      <w:lvlJc w:val="left"/>
      <w:pPr>
        <w:tabs>
          <w:tab w:val="num" w:pos="1209"/>
        </w:tabs>
        <w:ind w:left="1209" w:hanging="360"/>
      </w:pPr>
    </w:lvl>
  </w:abstractNum>
  <w:abstractNum w:abstractNumId="2">
    <w:nsid w:val="FFFFFF7E"/>
    <w:multiLevelType w:val="singleLevel"/>
    <w:tmpl w:val="367C8E06"/>
    <w:lvl w:ilvl="0">
      <w:start w:val="1"/>
      <w:numFmt w:val="decimal"/>
      <w:lvlText w:val="%1."/>
      <w:lvlJc w:val="left"/>
      <w:pPr>
        <w:tabs>
          <w:tab w:val="num" w:pos="926"/>
        </w:tabs>
        <w:ind w:left="926" w:hanging="360"/>
      </w:pPr>
    </w:lvl>
  </w:abstractNum>
  <w:abstractNum w:abstractNumId="3">
    <w:nsid w:val="FFFFFF7F"/>
    <w:multiLevelType w:val="singleLevel"/>
    <w:tmpl w:val="36C81F96"/>
    <w:lvl w:ilvl="0">
      <w:start w:val="1"/>
      <w:numFmt w:val="decimal"/>
      <w:lvlText w:val="%1."/>
      <w:lvlJc w:val="left"/>
      <w:pPr>
        <w:tabs>
          <w:tab w:val="num" w:pos="643"/>
        </w:tabs>
        <w:ind w:left="643" w:hanging="360"/>
      </w:pPr>
    </w:lvl>
  </w:abstractNum>
  <w:abstractNum w:abstractNumId="4">
    <w:nsid w:val="FFFFFF80"/>
    <w:multiLevelType w:val="singleLevel"/>
    <w:tmpl w:val="7148559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82A651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325B1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7A60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FBE15A8"/>
    <w:lvl w:ilvl="0">
      <w:start w:val="1"/>
      <w:numFmt w:val="decimal"/>
      <w:lvlText w:val="%1."/>
      <w:lvlJc w:val="left"/>
      <w:pPr>
        <w:tabs>
          <w:tab w:val="num" w:pos="360"/>
        </w:tabs>
        <w:ind w:left="360" w:hanging="360"/>
      </w:pPr>
    </w:lvl>
  </w:abstractNum>
  <w:abstractNum w:abstractNumId="9">
    <w:nsid w:val="FFFFFF89"/>
    <w:multiLevelType w:val="singleLevel"/>
    <w:tmpl w:val="27DEC8B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B6EE9"/>
    <w:multiLevelType w:val="hybridMultilevel"/>
    <w:tmpl w:val="53FA1A56"/>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2F51C93"/>
    <w:multiLevelType w:val="hybridMultilevel"/>
    <w:tmpl w:val="447A7B08"/>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4195196"/>
    <w:multiLevelType w:val="hybridMultilevel"/>
    <w:tmpl w:val="96E66A8C"/>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6CA1F3A"/>
    <w:multiLevelType w:val="hybridMultilevel"/>
    <w:tmpl w:val="9CE81372"/>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76B373E"/>
    <w:multiLevelType w:val="hybridMultilevel"/>
    <w:tmpl w:val="9BA6A3D2"/>
    <w:lvl w:ilvl="0" w:tplc="0809000F">
      <w:start w:val="1"/>
      <w:numFmt w:val="decimal"/>
      <w:lvlText w:val="%1."/>
      <w:lvlJc w:val="left"/>
      <w:pPr>
        <w:ind w:left="2061" w:hanging="360"/>
      </w:pPr>
      <w:rPr>
        <w:rFonts w:hint="default"/>
      </w:rPr>
    </w:lvl>
    <w:lvl w:ilvl="1" w:tplc="21E6BFC2">
      <w:start w:val="1"/>
      <w:numFmt w:val="lowerLetter"/>
      <w:lvlText w:val="(%2)"/>
      <w:lvlJc w:val="left"/>
      <w:pPr>
        <w:ind w:left="3075" w:hanging="720"/>
      </w:pPr>
      <w:rPr>
        <w:rFonts w:hint="default"/>
      </w:rPr>
    </w:lvl>
    <w:lvl w:ilvl="2" w:tplc="0809001B">
      <w:start w:val="1"/>
      <w:numFmt w:val="lowerRoman"/>
      <w:lvlText w:val="%3."/>
      <w:lvlJc w:val="right"/>
      <w:pPr>
        <w:ind w:left="3435" w:hanging="180"/>
      </w:pPr>
    </w:lvl>
    <w:lvl w:ilvl="3" w:tplc="0809000F" w:tentative="1">
      <w:start w:val="1"/>
      <w:numFmt w:val="decimal"/>
      <w:lvlText w:val="%4."/>
      <w:lvlJc w:val="left"/>
      <w:pPr>
        <w:ind w:left="4155" w:hanging="360"/>
      </w:pPr>
    </w:lvl>
    <w:lvl w:ilvl="4" w:tplc="08090019" w:tentative="1">
      <w:start w:val="1"/>
      <w:numFmt w:val="lowerLetter"/>
      <w:lvlText w:val="%5."/>
      <w:lvlJc w:val="left"/>
      <w:pPr>
        <w:ind w:left="4875" w:hanging="360"/>
      </w:pPr>
    </w:lvl>
    <w:lvl w:ilvl="5" w:tplc="0809001B" w:tentative="1">
      <w:start w:val="1"/>
      <w:numFmt w:val="lowerRoman"/>
      <w:lvlText w:val="%6."/>
      <w:lvlJc w:val="right"/>
      <w:pPr>
        <w:ind w:left="5595" w:hanging="180"/>
      </w:pPr>
    </w:lvl>
    <w:lvl w:ilvl="6" w:tplc="0809000F" w:tentative="1">
      <w:start w:val="1"/>
      <w:numFmt w:val="decimal"/>
      <w:lvlText w:val="%7."/>
      <w:lvlJc w:val="left"/>
      <w:pPr>
        <w:ind w:left="6315" w:hanging="360"/>
      </w:pPr>
    </w:lvl>
    <w:lvl w:ilvl="7" w:tplc="08090019" w:tentative="1">
      <w:start w:val="1"/>
      <w:numFmt w:val="lowerLetter"/>
      <w:lvlText w:val="%8."/>
      <w:lvlJc w:val="left"/>
      <w:pPr>
        <w:ind w:left="7035" w:hanging="360"/>
      </w:pPr>
    </w:lvl>
    <w:lvl w:ilvl="8" w:tplc="0809001B" w:tentative="1">
      <w:start w:val="1"/>
      <w:numFmt w:val="lowerRoman"/>
      <w:lvlText w:val="%9."/>
      <w:lvlJc w:val="right"/>
      <w:pPr>
        <w:ind w:left="7755" w:hanging="180"/>
      </w:pPr>
    </w:lvl>
  </w:abstractNum>
  <w:abstractNum w:abstractNumId="15">
    <w:nsid w:val="07893823"/>
    <w:multiLevelType w:val="hybridMultilevel"/>
    <w:tmpl w:val="9D38ED32"/>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80A14B2"/>
    <w:multiLevelType w:val="hybridMultilevel"/>
    <w:tmpl w:val="58A06C60"/>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81D7F4F"/>
    <w:multiLevelType w:val="hybridMultilevel"/>
    <w:tmpl w:val="83608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830563E"/>
    <w:multiLevelType w:val="multilevel"/>
    <w:tmpl w:val="7D989632"/>
    <w:lvl w:ilvl="0">
      <w:start w:val="1"/>
      <w:numFmt w:val="decimal"/>
      <w:lvlText w:val="%1."/>
      <w:lvlJc w:val="left"/>
      <w:pPr>
        <w:ind w:left="0" w:firstLine="0"/>
      </w:pPr>
      <w:rPr>
        <w:rFonts w:hint="default"/>
        <w:sz w:val="28"/>
        <w:szCs w:val="24"/>
      </w:rPr>
    </w:lvl>
    <w:lvl w:ilvl="1">
      <w:start w:val="1"/>
      <w:numFmt w:val="decimal"/>
      <w:lvlText w:val="%1.%2."/>
      <w:lvlJc w:val="left"/>
      <w:pPr>
        <w:ind w:left="737" w:hanging="737"/>
      </w:pPr>
      <w:rPr>
        <w:rFonts w:hint="default"/>
        <w:b/>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710"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19">
    <w:nsid w:val="08FA1CE2"/>
    <w:multiLevelType w:val="hybridMultilevel"/>
    <w:tmpl w:val="E9AAE2A6"/>
    <w:lvl w:ilvl="0" w:tplc="DD106F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0B590EE8"/>
    <w:multiLevelType w:val="hybridMultilevel"/>
    <w:tmpl w:val="48B6DE5C"/>
    <w:lvl w:ilvl="0" w:tplc="3C2600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0B782854"/>
    <w:multiLevelType w:val="hybridMultilevel"/>
    <w:tmpl w:val="9DA0A312"/>
    <w:lvl w:ilvl="0" w:tplc="880EFF4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0C08415D"/>
    <w:multiLevelType w:val="hybridMultilevel"/>
    <w:tmpl w:val="E45E67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0CC631B3"/>
    <w:multiLevelType w:val="hybridMultilevel"/>
    <w:tmpl w:val="00E817B2"/>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0E0D2916"/>
    <w:multiLevelType w:val="hybridMultilevel"/>
    <w:tmpl w:val="B9543AF6"/>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0F026537"/>
    <w:multiLevelType w:val="hybridMultilevel"/>
    <w:tmpl w:val="E9AAE2A6"/>
    <w:lvl w:ilvl="0" w:tplc="DD106F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0F711CBC"/>
    <w:multiLevelType w:val="hybridMultilevel"/>
    <w:tmpl w:val="3D880146"/>
    <w:lvl w:ilvl="0" w:tplc="B5A62FB2">
      <w:start w:val="1"/>
      <w:numFmt w:val="bullet"/>
      <w:pStyle w:val="ContinuousSquareBullet"/>
      <w:lvlText w:val="•"/>
      <w:lvlJc w:val="left"/>
      <w:pPr>
        <w:tabs>
          <w:tab w:val="num" w:pos="720"/>
        </w:tabs>
        <w:ind w:left="720" w:hanging="360"/>
      </w:pPr>
      <w:rPr>
        <w:rFonts w:ascii="Times New Roman" w:hAnsi="Times New Roman" w:hint="default"/>
      </w:rPr>
    </w:lvl>
    <w:lvl w:ilvl="1" w:tplc="22964E38">
      <w:start w:val="139"/>
      <w:numFmt w:val="bullet"/>
      <w:lvlText w:val=""/>
      <w:lvlJc w:val="left"/>
      <w:pPr>
        <w:tabs>
          <w:tab w:val="num" w:pos="1440"/>
        </w:tabs>
        <w:ind w:left="1440" w:hanging="360"/>
      </w:pPr>
      <w:rPr>
        <w:rFonts w:ascii="Wingdings" w:hAnsi="Wingdings" w:hint="default"/>
      </w:rPr>
    </w:lvl>
    <w:lvl w:ilvl="2" w:tplc="118C69AE" w:tentative="1">
      <w:start w:val="1"/>
      <w:numFmt w:val="bullet"/>
      <w:lvlText w:val="•"/>
      <w:lvlJc w:val="left"/>
      <w:pPr>
        <w:tabs>
          <w:tab w:val="num" w:pos="2160"/>
        </w:tabs>
        <w:ind w:left="2160" w:hanging="360"/>
      </w:pPr>
      <w:rPr>
        <w:rFonts w:ascii="Times New Roman" w:hAnsi="Times New Roman" w:hint="default"/>
      </w:rPr>
    </w:lvl>
    <w:lvl w:ilvl="3" w:tplc="8F74E17C" w:tentative="1">
      <w:start w:val="1"/>
      <w:numFmt w:val="bullet"/>
      <w:lvlText w:val="•"/>
      <w:lvlJc w:val="left"/>
      <w:pPr>
        <w:tabs>
          <w:tab w:val="num" w:pos="2880"/>
        </w:tabs>
        <w:ind w:left="2880" w:hanging="360"/>
      </w:pPr>
      <w:rPr>
        <w:rFonts w:ascii="Times New Roman" w:hAnsi="Times New Roman" w:hint="default"/>
      </w:rPr>
    </w:lvl>
    <w:lvl w:ilvl="4" w:tplc="180A7674" w:tentative="1">
      <w:start w:val="1"/>
      <w:numFmt w:val="bullet"/>
      <w:lvlText w:val="•"/>
      <w:lvlJc w:val="left"/>
      <w:pPr>
        <w:tabs>
          <w:tab w:val="num" w:pos="3600"/>
        </w:tabs>
        <w:ind w:left="3600" w:hanging="360"/>
      </w:pPr>
      <w:rPr>
        <w:rFonts w:ascii="Times New Roman" w:hAnsi="Times New Roman" w:hint="default"/>
      </w:rPr>
    </w:lvl>
    <w:lvl w:ilvl="5" w:tplc="A8EA8994" w:tentative="1">
      <w:start w:val="1"/>
      <w:numFmt w:val="bullet"/>
      <w:lvlText w:val="•"/>
      <w:lvlJc w:val="left"/>
      <w:pPr>
        <w:tabs>
          <w:tab w:val="num" w:pos="4320"/>
        </w:tabs>
        <w:ind w:left="4320" w:hanging="360"/>
      </w:pPr>
      <w:rPr>
        <w:rFonts w:ascii="Times New Roman" w:hAnsi="Times New Roman" w:hint="default"/>
      </w:rPr>
    </w:lvl>
    <w:lvl w:ilvl="6" w:tplc="5832CEB8" w:tentative="1">
      <w:start w:val="1"/>
      <w:numFmt w:val="bullet"/>
      <w:lvlText w:val="•"/>
      <w:lvlJc w:val="left"/>
      <w:pPr>
        <w:tabs>
          <w:tab w:val="num" w:pos="5040"/>
        </w:tabs>
        <w:ind w:left="5040" w:hanging="360"/>
      </w:pPr>
      <w:rPr>
        <w:rFonts w:ascii="Times New Roman" w:hAnsi="Times New Roman" w:hint="default"/>
      </w:rPr>
    </w:lvl>
    <w:lvl w:ilvl="7" w:tplc="1C3C6BCA" w:tentative="1">
      <w:start w:val="1"/>
      <w:numFmt w:val="bullet"/>
      <w:lvlText w:val="•"/>
      <w:lvlJc w:val="left"/>
      <w:pPr>
        <w:tabs>
          <w:tab w:val="num" w:pos="5760"/>
        </w:tabs>
        <w:ind w:left="5760" w:hanging="360"/>
      </w:pPr>
      <w:rPr>
        <w:rFonts w:ascii="Times New Roman" w:hAnsi="Times New Roman" w:hint="default"/>
      </w:rPr>
    </w:lvl>
    <w:lvl w:ilvl="8" w:tplc="B5448FD0" w:tentative="1">
      <w:start w:val="1"/>
      <w:numFmt w:val="bullet"/>
      <w:lvlText w:val="•"/>
      <w:lvlJc w:val="left"/>
      <w:pPr>
        <w:tabs>
          <w:tab w:val="num" w:pos="6480"/>
        </w:tabs>
        <w:ind w:left="6480" w:hanging="360"/>
      </w:pPr>
      <w:rPr>
        <w:rFonts w:ascii="Times New Roman" w:hAnsi="Times New Roman" w:hint="default"/>
      </w:rPr>
    </w:lvl>
  </w:abstractNum>
  <w:abstractNum w:abstractNumId="27">
    <w:nsid w:val="0FF55052"/>
    <w:multiLevelType w:val="hybridMultilevel"/>
    <w:tmpl w:val="3690801E"/>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1047292A"/>
    <w:multiLevelType w:val="hybridMultilevel"/>
    <w:tmpl w:val="3C56422C"/>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10985ABB"/>
    <w:multiLevelType w:val="hybridMultilevel"/>
    <w:tmpl w:val="F06E5B2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12127192"/>
    <w:multiLevelType w:val="hybridMultilevel"/>
    <w:tmpl w:val="02D4F6A4"/>
    <w:lvl w:ilvl="0" w:tplc="29BEC778">
      <w:start w:val="1"/>
      <w:numFmt w:val="lowerLetter"/>
      <w:lvlText w:val="%1)"/>
      <w:lvlJc w:val="left"/>
      <w:pPr>
        <w:ind w:left="720" w:hanging="360"/>
      </w:pPr>
      <w:rPr>
        <w:rFonts w:ascii="Verdana" w:hAnsi="Verdana" w:hint="default"/>
        <w:sz w:val="20"/>
        <w:szCs w:val="22"/>
      </w:rPr>
    </w:lvl>
    <w:lvl w:ilvl="1" w:tplc="10BA34C2">
      <w:start w:val="1"/>
      <w:numFmt w:val="lowerRoman"/>
      <w:lvlText w:val="%2."/>
      <w:lvlJc w:val="right"/>
      <w:pPr>
        <w:ind w:left="1440" w:hanging="360"/>
      </w:pPr>
      <w:rPr>
        <w:rFonts w:ascii="Verdana" w:hAnsi="Verdana" w:hint="default"/>
        <w:b w:val="0"/>
        <w:i w:val="0"/>
        <w:caps w:val="0"/>
        <w:strike w:val="0"/>
        <w:dstrike w:val="0"/>
        <w:vanish w:val="0"/>
        <w:color w:val="auto"/>
        <w:sz w:val="22"/>
        <w:szCs w:val="22"/>
        <w:vertAlign w:val="baseline"/>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13251C2E"/>
    <w:multiLevelType w:val="hybridMultilevel"/>
    <w:tmpl w:val="135AEBB4"/>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345700F"/>
    <w:multiLevelType w:val="multilevel"/>
    <w:tmpl w:val="F99EBB38"/>
    <w:lvl w:ilvl="0">
      <w:start w:val="1"/>
      <w:numFmt w:val="decimal"/>
      <w:lvlText w:val="%1."/>
      <w:lvlJc w:val="left"/>
      <w:pPr>
        <w:ind w:left="450" w:hanging="450"/>
      </w:pPr>
      <w:rPr>
        <w:rFonts w:hint="default"/>
      </w:rPr>
    </w:lvl>
    <w:lvl w:ilvl="1">
      <w:start w:val="1"/>
      <w:numFmt w:val="decimal"/>
      <w:lvlText w:val="%1.%2."/>
      <w:lvlJc w:val="left"/>
      <w:pPr>
        <w:ind w:left="720" w:hanging="720"/>
      </w:pPr>
      <w:rPr>
        <w:rFonts w:ascii="Verdana" w:hAnsi="Verdana" w:hint="default"/>
        <w:b w:val="0"/>
        <w:sz w:val="22"/>
        <w:szCs w:val="22"/>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3">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5F62F18"/>
    <w:multiLevelType w:val="multilevel"/>
    <w:tmpl w:val="7D989632"/>
    <w:lvl w:ilvl="0">
      <w:start w:val="1"/>
      <w:numFmt w:val="decimal"/>
      <w:lvlText w:val="%1."/>
      <w:lvlJc w:val="left"/>
      <w:pPr>
        <w:ind w:left="0" w:firstLine="0"/>
      </w:pPr>
      <w:rPr>
        <w:rFonts w:hint="default"/>
        <w:sz w:val="28"/>
        <w:szCs w:val="24"/>
      </w:rPr>
    </w:lvl>
    <w:lvl w:ilvl="1">
      <w:start w:val="1"/>
      <w:numFmt w:val="decimal"/>
      <w:lvlText w:val="%1.%2."/>
      <w:lvlJc w:val="left"/>
      <w:pPr>
        <w:ind w:left="737" w:hanging="737"/>
      </w:pPr>
      <w:rPr>
        <w:rFonts w:hint="default"/>
        <w:b/>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710"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35">
    <w:nsid w:val="1AAC00B2"/>
    <w:multiLevelType w:val="hybridMultilevel"/>
    <w:tmpl w:val="FB56C25E"/>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1ABE2086"/>
    <w:multiLevelType w:val="hybridMultilevel"/>
    <w:tmpl w:val="7B3E9EB8"/>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1B180EB8"/>
    <w:multiLevelType w:val="singleLevel"/>
    <w:tmpl w:val="42EA90DA"/>
    <w:lvl w:ilvl="0">
      <w:start w:val="1"/>
      <w:numFmt w:val="decimal"/>
      <w:lvlRestart w:val="0"/>
      <w:pStyle w:val="ConsultationItalic"/>
      <w:lvlText w:val="(%1)"/>
      <w:lvlJc w:val="left"/>
      <w:pPr>
        <w:tabs>
          <w:tab w:val="num" w:pos="709"/>
        </w:tabs>
        <w:ind w:left="709" w:hanging="709"/>
      </w:pPr>
    </w:lvl>
  </w:abstractNum>
  <w:abstractNum w:abstractNumId="38">
    <w:nsid w:val="1B507881"/>
    <w:multiLevelType w:val="hybridMultilevel"/>
    <w:tmpl w:val="D5860932"/>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20CB5631"/>
    <w:multiLevelType w:val="hybridMultilevel"/>
    <w:tmpl w:val="3064CB14"/>
    <w:lvl w:ilvl="0" w:tplc="FF8646B6">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0">
    <w:nsid w:val="21322550"/>
    <w:multiLevelType w:val="multilevel"/>
    <w:tmpl w:val="7D989632"/>
    <w:lvl w:ilvl="0">
      <w:start w:val="1"/>
      <w:numFmt w:val="decimal"/>
      <w:lvlText w:val="%1."/>
      <w:lvlJc w:val="left"/>
      <w:pPr>
        <w:ind w:left="0" w:firstLine="0"/>
      </w:pPr>
      <w:rPr>
        <w:rFonts w:hint="default"/>
        <w:sz w:val="28"/>
        <w:szCs w:val="24"/>
      </w:rPr>
    </w:lvl>
    <w:lvl w:ilvl="1">
      <w:start w:val="1"/>
      <w:numFmt w:val="decimal"/>
      <w:lvlText w:val="%1.%2."/>
      <w:lvlJc w:val="left"/>
      <w:pPr>
        <w:ind w:left="737" w:hanging="737"/>
      </w:pPr>
      <w:rPr>
        <w:rFonts w:hint="default"/>
        <w:b/>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710"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41">
    <w:nsid w:val="2226433E"/>
    <w:multiLevelType w:val="hybridMultilevel"/>
    <w:tmpl w:val="5510CC02"/>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224309AC"/>
    <w:multiLevelType w:val="hybridMultilevel"/>
    <w:tmpl w:val="659EFA66"/>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22677DB0"/>
    <w:multiLevelType w:val="hybridMultilevel"/>
    <w:tmpl w:val="C0E0C43A"/>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23553961"/>
    <w:multiLevelType w:val="hybridMultilevel"/>
    <w:tmpl w:val="2DC8C1B6"/>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23EB387F"/>
    <w:multiLevelType w:val="hybridMultilevel"/>
    <w:tmpl w:val="48C2C9F2"/>
    <w:lvl w:ilvl="0" w:tplc="F3780D36">
      <w:start w:val="1"/>
      <w:numFmt w:val="bullet"/>
      <w:pStyle w:val="Bulletpoints3"/>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46">
    <w:nsid w:val="247F5B90"/>
    <w:multiLevelType w:val="hybridMultilevel"/>
    <w:tmpl w:val="BC08F5DA"/>
    <w:lvl w:ilvl="0" w:tplc="08090001">
      <w:start w:val="1"/>
      <w:numFmt w:val="bullet"/>
      <w:lvlText w:val=""/>
      <w:lvlJc w:val="left"/>
      <w:pPr>
        <w:ind w:left="650" w:hanging="360"/>
      </w:pPr>
      <w:rPr>
        <w:rFonts w:ascii="Symbol" w:hAnsi="Symbol" w:hint="default"/>
      </w:rPr>
    </w:lvl>
    <w:lvl w:ilvl="1" w:tplc="08090003" w:tentative="1">
      <w:start w:val="1"/>
      <w:numFmt w:val="bullet"/>
      <w:lvlText w:val="o"/>
      <w:lvlJc w:val="left"/>
      <w:pPr>
        <w:ind w:left="1370" w:hanging="360"/>
      </w:pPr>
      <w:rPr>
        <w:rFonts w:ascii="Courier New" w:hAnsi="Courier New" w:cs="Courier New" w:hint="default"/>
      </w:rPr>
    </w:lvl>
    <w:lvl w:ilvl="2" w:tplc="08090005" w:tentative="1">
      <w:start w:val="1"/>
      <w:numFmt w:val="bullet"/>
      <w:lvlText w:val=""/>
      <w:lvlJc w:val="left"/>
      <w:pPr>
        <w:ind w:left="2090" w:hanging="360"/>
      </w:pPr>
      <w:rPr>
        <w:rFonts w:ascii="Wingdings" w:hAnsi="Wingdings" w:hint="default"/>
      </w:rPr>
    </w:lvl>
    <w:lvl w:ilvl="3" w:tplc="08090001" w:tentative="1">
      <w:start w:val="1"/>
      <w:numFmt w:val="bullet"/>
      <w:lvlText w:val=""/>
      <w:lvlJc w:val="left"/>
      <w:pPr>
        <w:ind w:left="2810" w:hanging="360"/>
      </w:pPr>
      <w:rPr>
        <w:rFonts w:ascii="Symbol" w:hAnsi="Symbol" w:hint="default"/>
      </w:rPr>
    </w:lvl>
    <w:lvl w:ilvl="4" w:tplc="08090003" w:tentative="1">
      <w:start w:val="1"/>
      <w:numFmt w:val="bullet"/>
      <w:lvlText w:val="o"/>
      <w:lvlJc w:val="left"/>
      <w:pPr>
        <w:ind w:left="3530" w:hanging="360"/>
      </w:pPr>
      <w:rPr>
        <w:rFonts w:ascii="Courier New" w:hAnsi="Courier New" w:cs="Courier New" w:hint="default"/>
      </w:rPr>
    </w:lvl>
    <w:lvl w:ilvl="5" w:tplc="08090005" w:tentative="1">
      <w:start w:val="1"/>
      <w:numFmt w:val="bullet"/>
      <w:lvlText w:val=""/>
      <w:lvlJc w:val="left"/>
      <w:pPr>
        <w:ind w:left="4250" w:hanging="360"/>
      </w:pPr>
      <w:rPr>
        <w:rFonts w:ascii="Wingdings" w:hAnsi="Wingdings" w:hint="default"/>
      </w:rPr>
    </w:lvl>
    <w:lvl w:ilvl="6" w:tplc="08090001" w:tentative="1">
      <w:start w:val="1"/>
      <w:numFmt w:val="bullet"/>
      <w:lvlText w:val=""/>
      <w:lvlJc w:val="left"/>
      <w:pPr>
        <w:ind w:left="4970" w:hanging="360"/>
      </w:pPr>
      <w:rPr>
        <w:rFonts w:ascii="Symbol" w:hAnsi="Symbol" w:hint="default"/>
      </w:rPr>
    </w:lvl>
    <w:lvl w:ilvl="7" w:tplc="08090003" w:tentative="1">
      <w:start w:val="1"/>
      <w:numFmt w:val="bullet"/>
      <w:lvlText w:val="o"/>
      <w:lvlJc w:val="left"/>
      <w:pPr>
        <w:ind w:left="5690" w:hanging="360"/>
      </w:pPr>
      <w:rPr>
        <w:rFonts w:ascii="Courier New" w:hAnsi="Courier New" w:cs="Courier New" w:hint="default"/>
      </w:rPr>
    </w:lvl>
    <w:lvl w:ilvl="8" w:tplc="08090005" w:tentative="1">
      <w:start w:val="1"/>
      <w:numFmt w:val="bullet"/>
      <w:lvlText w:val=""/>
      <w:lvlJc w:val="left"/>
      <w:pPr>
        <w:ind w:left="6410" w:hanging="360"/>
      </w:pPr>
      <w:rPr>
        <w:rFonts w:ascii="Wingdings" w:hAnsi="Wingdings" w:hint="default"/>
      </w:rPr>
    </w:lvl>
  </w:abstractNum>
  <w:abstractNum w:abstractNumId="47">
    <w:nsid w:val="267B7214"/>
    <w:multiLevelType w:val="hybridMultilevel"/>
    <w:tmpl w:val="E1261F2C"/>
    <w:lvl w:ilvl="0" w:tplc="EBD4E3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26F06D6B"/>
    <w:multiLevelType w:val="hybridMultilevel"/>
    <w:tmpl w:val="C506FCF0"/>
    <w:lvl w:ilvl="0" w:tplc="279E36DC">
      <w:start w:val="1"/>
      <w:numFmt w:val="lowerLetter"/>
      <w:lvlText w:val="%1)"/>
      <w:lvlJc w:val="left"/>
      <w:pPr>
        <w:ind w:left="720" w:hanging="360"/>
      </w:pPr>
      <w:rPr>
        <w:rFonts w:ascii="Verdana" w:hAnsi="Verdana" w:hint="default"/>
        <w:sz w:val="20"/>
      </w:rPr>
    </w:lvl>
    <w:lvl w:ilvl="1" w:tplc="D4764220">
      <w:start w:val="1"/>
      <w:numFmt w:val="lowerRoman"/>
      <w:lvlText w:val="%2."/>
      <w:lvlJc w:val="right"/>
      <w:pPr>
        <w:ind w:left="1440" w:hanging="360"/>
      </w:pPr>
      <w:rPr>
        <w:rFonts w:ascii="Verdana" w:hAnsi="Verdana" w:hint="default"/>
        <w:b w:val="0"/>
        <w:i w:val="0"/>
        <w:caps w:val="0"/>
        <w:strike w:val="0"/>
        <w:dstrike w:val="0"/>
        <w:vanish w:val="0"/>
        <w:color w:val="auto"/>
        <w:sz w:val="20"/>
        <w:vertAlign w:val="baseline"/>
      </w:rPr>
    </w:lvl>
    <w:lvl w:ilvl="2" w:tplc="8B781D22">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275E03DC"/>
    <w:multiLevelType w:val="hybridMultilevel"/>
    <w:tmpl w:val="71EA99AA"/>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283B286B"/>
    <w:multiLevelType w:val="multilevel"/>
    <w:tmpl w:val="7D989632"/>
    <w:lvl w:ilvl="0">
      <w:start w:val="1"/>
      <w:numFmt w:val="decimal"/>
      <w:lvlText w:val="%1."/>
      <w:lvlJc w:val="left"/>
      <w:pPr>
        <w:ind w:left="0" w:firstLine="0"/>
      </w:pPr>
      <w:rPr>
        <w:rFonts w:hint="default"/>
        <w:sz w:val="28"/>
        <w:szCs w:val="24"/>
      </w:rPr>
    </w:lvl>
    <w:lvl w:ilvl="1">
      <w:start w:val="1"/>
      <w:numFmt w:val="decimal"/>
      <w:lvlText w:val="%1.%2."/>
      <w:lvlJc w:val="left"/>
      <w:pPr>
        <w:ind w:left="737" w:hanging="737"/>
      </w:pPr>
      <w:rPr>
        <w:rFonts w:hint="default"/>
        <w:b/>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710"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51">
    <w:nsid w:val="295F613E"/>
    <w:multiLevelType w:val="hybridMultilevel"/>
    <w:tmpl w:val="DBC6BB02"/>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29DD4DB3"/>
    <w:multiLevelType w:val="multilevel"/>
    <w:tmpl w:val="7D989632"/>
    <w:lvl w:ilvl="0">
      <w:start w:val="1"/>
      <w:numFmt w:val="decimal"/>
      <w:lvlText w:val="%1."/>
      <w:lvlJc w:val="left"/>
      <w:pPr>
        <w:ind w:left="0" w:firstLine="0"/>
      </w:pPr>
      <w:rPr>
        <w:rFonts w:hint="default"/>
        <w:sz w:val="28"/>
        <w:szCs w:val="24"/>
      </w:rPr>
    </w:lvl>
    <w:lvl w:ilvl="1">
      <w:start w:val="1"/>
      <w:numFmt w:val="decimal"/>
      <w:lvlText w:val="%1.%2."/>
      <w:lvlJc w:val="left"/>
      <w:pPr>
        <w:ind w:left="737" w:hanging="737"/>
      </w:pPr>
      <w:rPr>
        <w:rFonts w:hint="default"/>
        <w:b/>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710"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53">
    <w:nsid w:val="2AD27BF1"/>
    <w:multiLevelType w:val="hybridMultilevel"/>
    <w:tmpl w:val="41CEF570"/>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2B620441"/>
    <w:multiLevelType w:val="hybridMultilevel"/>
    <w:tmpl w:val="E4784A4E"/>
    <w:lvl w:ilvl="0" w:tplc="21E6BFC2">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2B981DA6"/>
    <w:multiLevelType w:val="hybridMultilevel"/>
    <w:tmpl w:val="605C0894"/>
    <w:lvl w:ilvl="0" w:tplc="DC20374C">
      <w:start w:val="1"/>
      <w:numFmt w:val="decimal"/>
      <w:pStyle w:val="Numberedparagraph"/>
      <w:lvlText w:val="%1."/>
      <w:lvlJc w:val="left"/>
      <w:pPr>
        <w:tabs>
          <w:tab w:val="num" w:pos="0"/>
        </w:tabs>
        <w:ind w:left="0" w:hanging="567"/>
      </w:pPr>
      <w:rPr>
        <w:rFonts w:ascii="Arial" w:hAnsi="Arial"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2D42682A"/>
    <w:multiLevelType w:val="hybridMultilevel"/>
    <w:tmpl w:val="022A424A"/>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2E3E29DE"/>
    <w:multiLevelType w:val="hybridMultilevel"/>
    <w:tmpl w:val="D1068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2E5C3B32"/>
    <w:multiLevelType w:val="hybridMultilevel"/>
    <w:tmpl w:val="31C26AC0"/>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nsid w:val="2EBC1CB2"/>
    <w:multiLevelType w:val="hybridMultilevel"/>
    <w:tmpl w:val="C77441E2"/>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2F8664C4"/>
    <w:multiLevelType w:val="hybridMultilevel"/>
    <w:tmpl w:val="50C05710"/>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2FD67206"/>
    <w:multiLevelType w:val="hybridMultilevel"/>
    <w:tmpl w:val="50C05710"/>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30C3773F"/>
    <w:multiLevelType w:val="multilevel"/>
    <w:tmpl w:val="2CF8B2C2"/>
    <w:lvl w:ilvl="0">
      <w:start w:val="1"/>
      <w:numFmt w:val="lowerLetter"/>
      <w:lvlText w:val="%1)"/>
      <w:lvlJc w:val="left"/>
      <w:pPr>
        <w:ind w:left="720" w:firstLine="0"/>
      </w:pPr>
      <w:rPr>
        <w:rFonts w:ascii="Verdana" w:hAnsi="Verdana" w:hint="default"/>
        <w:b w:val="0"/>
        <w:i w:val="0"/>
        <w:caps w:val="0"/>
        <w:strike w:val="0"/>
        <w:dstrike w:val="0"/>
        <w:vanish w:val="0"/>
        <w:color w:val="auto"/>
        <w:sz w:val="22"/>
        <w:szCs w:val="24"/>
        <w:vertAlign w:val="baseline"/>
      </w:rPr>
    </w:lvl>
    <w:lvl w:ilvl="1">
      <w:start w:val="1"/>
      <w:numFmt w:val="decimal"/>
      <w:lvlText w:val="%1.%2."/>
      <w:lvlJc w:val="left"/>
      <w:pPr>
        <w:ind w:left="1457" w:hanging="737"/>
      </w:pPr>
      <w:rPr>
        <w:rFonts w:hint="default"/>
      </w:rPr>
    </w:lvl>
    <w:lvl w:ilvl="2">
      <w:start w:val="1"/>
      <w:numFmt w:val="decimal"/>
      <w:lvlText w:val="%1.%2.%3."/>
      <w:lvlJc w:val="left"/>
      <w:pPr>
        <w:ind w:left="1911" w:hanging="1191"/>
      </w:pPr>
      <w:rPr>
        <w:rFonts w:hint="default"/>
      </w:rPr>
    </w:lvl>
    <w:lvl w:ilvl="3">
      <w:start w:val="1"/>
      <w:numFmt w:val="decimal"/>
      <w:lvlText w:val="%1.%2.%3.%4."/>
      <w:lvlJc w:val="left"/>
      <w:pPr>
        <w:ind w:left="2308" w:hanging="1588"/>
      </w:pPr>
      <w:rPr>
        <w:rFonts w:hint="default"/>
      </w:rPr>
    </w:lvl>
    <w:lvl w:ilvl="4">
      <w:start w:val="1"/>
      <w:numFmt w:val="lowerLetter"/>
      <w:lvlText w:val="(%5)"/>
      <w:lvlJc w:val="left"/>
      <w:pPr>
        <w:ind w:left="2148" w:firstLine="0"/>
      </w:pPr>
      <w:rPr>
        <w:rFonts w:hint="default"/>
      </w:rPr>
    </w:lvl>
    <w:lvl w:ilvl="5">
      <w:start w:val="1"/>
      <w:numFmt w:val="lowerRoman"/>
      <w:lvlText w:val="(%6)"/>
      <w:lvlJc w:val="left"/>
      <w:pPr>
        <w:ind w:left="2505" w:firstLine="0"/>
      </w:pPr>
      <w:rPr>
        <w:rFonts w:hint="default"/>
      </w:rPr>
    </w:lvl>
    <w:lvl w:ilvl="6">
      <w:start w:val="1"/>
      <w:numFmt w:val="decimal"/>
      <w:lvlText w:val="%7."/>
      <w:lvlJc w:val="left"/>
      <w:pPr>
        <w:ind w:left="2862" w:firstLine="0"/>
      </w:pPr>
      <w:rPr>
        <w:rFonts w:hint="default"/>
      </w:rPr>
    </w:lvl>
    <w:lvl w:ilvl="7">
      <w:start w:val="1"/>
      <w:numFmt w:val="lowerLetter"/>
      <w:lvlText w:val="%8."/>
      <w:lvlJc w:val="left"/>
      <w:pPr>
        <w:ind w:left="3219" w:firstLine="0"/>
      </w:pPr>
      <w:rPr>
        <w:rFonts w:hint="default"/>
      </w:rPr>
    </w:lvl>
    <w:lvl w:ilvl="8">
      <w:start w:val="1"/>
      <w:numFmt w:val="lowerRoman"/>
      <w:lvlText w:val="%9."/>
      <w:lvlJc w:val="left"/>
      <w:pPr>
        <w:ind w:left="3576" w:firstLine="0"/>
      </w:pPr>
      <w:rPr>
        <w:rFonts w:hint="default"/>
      </w:rPr>
    </w:lvl>
  </w:abstractNum>
  <w:abstractNum w:abstractNumId="63">
    <w:nsid w:val="317B70A6"/>
    <w:multiLevelType w:val="multilevel"/>
    <w:tmpl w:val="FD0C7F20"/>
    <w:lvl w:ilvl="0">
      <w:start w:val="1"/>
      <w:numFmt w:val="lowerLetter"/>
      <w:lvlText w:val="%1)"/>
      <w:lvlJc w:val="left"/>
      <w:pPr>
        <w:ind w:left="720" w:firstLine="0"/>
      </w:pPr>
      <w:rPr>
        <w:rFonts w:ascii="Verdana" w:hAnsi="Verdana" w:hint="default"/>
        <w:b w:val="0"/>
        <w:i w:val="0"/>
        <w:caps w:val="0"/>
        <w:strike w:val="0"/>
        <w:dstrike w:val="0"/>
        <w:vanish w:val="0"/>
        <w:color w:val="auto"/>
        <w:sz w:val="22"/>
        <w:szCs w:val="24"/>
        <w:vertAlign w:val="baseline"/>
      </w:rPr>
    </w:lvl>
    <w:lvl w:ilvl="1">
      <w:start w:val="1"/>
      <w:numFmt w:val="decimal"/>
      <w:lvlText w:val="%1.%2."/>
      <w:lvlJc w:val="left"/>
      <w:pPr>
        <w:ind w:left="1457" w:hanging="737"/>
      </w:pPr>
      <w:rPr>
        <w:rFonts w:hint="default"/>
      </w:rPr>
    </w:lvl>
    <w:lvl w:ilvl="2">
      <w:start w:val="1"/>
      <w:numFmt w:val="decimal"/>
      <w:lvlText w:val="%1.%2.%3."/>
      <w:lvlJc w:val="left"/>
      <w:pPr>
        <w:ind w:left="1911" w:hanging="1191"/>
      </w:pPr>
      <w:rPr>
        <w:rFonts w:hint="default"/>
      </w:rPr>
    </w:lvl>
    <w:lvl w:ilvl="3">
      <w:start w:val="1"/>
      <w:numFmt w:val="decimal"/>
      <w:lvlText w:val="%1.%2.%3.%4."/>
      <w:lvlJc w:val="left"/>
      <w:pPr>
        <w:ind w:left="2308" w:hanging="1588"/>
      </w:pPr>
      <w:rPr>
        <w:rFonts w:hint="default"/>
      </w:rPr>
    </w:lvl>
    <w:lvl w:ilvl="4">
      <w:start w:val="1"/>
      <w:numFmt w:val="lowerLetter"/>
      <w:lvlText w:val="(%5)"/>
      <w:lvlJc w:val="left"/>
      <w:pPr>
        <w:ind w:left="2148" w:firstLine="0"/>
      </w:pPr>
      <w:rPr>
        <w:rFonts w:hint="default"/>
      </w:rPr>
    </w:lvl>
    <w:lvl w:ilvl="5">
      <w:start w:val="1"/>
      <w:numFmt w:val="lowerRoman"/>
      <w:lvlText w:val="(%6)"/>
      <w:lvlJc w:val="left"/>
      <w:pPr>
        <w:ind w:left="2505" w:firstLine="0"/>
      </w:pPr>
      <w:rPr>
        <w:rFonts w:hint="default"/>
      </w:rPr>
    </w:lvl>
    <w:lvl w:ilvl="6">
      <w:start w:val="1"/>
      <w:numFmt w:val="decimal"/>
      <w:lvlText w:val="%7."/>
      <w:lvlJc w:val="left"/>
      <w:pPr>
        <w:ind w:left="2862" w:firstLine="0"/>
      </w:pPr>
      <w:rPr>
        <w:rFonts w:hint="default"/>
      </w:rPr>
    </w:lvl>
    <w:lvl w:ilvl="7">
      <w:start w:val="1"/>
      <w:numFmt w:val="lowerLetter"/>
      <w:lvlText w:val="%8."/>
      <w:lvlJc w:val="left"/>
      <w:pPr>
        <w:ind w:left="3219" w:firstLine="0"/>
      </w:pPr>
      <w:rPr>
        <w:rFonts w:hint="default"/>
      </w:rPr>
    </w:lvl>
    <w:lvl w:ilvl="8">
      <w:start w:val="1"/>
      <w:numFmt w:val="lowerRoman"/>
      <w:lvlText w:val="%9."/>
      <w:lvlJc w:val="left"/>
      <w:pPr>
        <w:ind w:left="3576" w:firstLine="0"/>
      </w:pPr>
      <w:rPr>
        <w:rFonts w:hint="default"/>
      </w:rPr>
    </w:lvl>
  </w:abstractNum>
  <w:abstractNum w:abstractNumId="64">
    <w:nsid w:val="319F6A43"/>
    <w:multiLevelType w:val="hybridMultilevel"/>
    <w:tmpl w:val="E1261F2C"/>
    <w:lvl w:ilvl="0" w:tplc="EBD4E3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31F967AA"/>
    <w:multiLevelType w:val="hybridMultilevel"/>
    <w:tmpl w:val="E222E1E0"/>
    <w:lvl w:ilvl="0" w:tplc="E4F4E5E0">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32E81FD5"/>
    <w:multiLevelType w:val="hybridMultilevel"/>
    <w:tmpl w:val="537E7696"/>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nsid w:val="332B35F9"/>
    <w:multiLevelType w:val="hybridMultilevel"/>
    <w:tmpl w:val="91108360"/>
    <w:lvl w:ilvl="0" w:tplc="21E6BFC2">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353C08BF"/>
    <w:multiLevelType w:val="hybridMultilevel"/>
    <w:tmpl w:val="A7DA0660"/>
    <w:lvl w:ilvl="0" w:tplc="CA9EB5E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363136C3"/>
    <w:multiLevelType w:val="hybridMultilevel"/>
    <w:tmpl w:val="A7DA0660"/>
    <w:lvl w:ilvl="0" w:tplc="CA9EB5E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38234C5C"/>
    <w:multiLevelType w:val="hybridMultilevel"/>
    <w:tmpl w:val="96E0BD3C"/>
    <w:lvl w:ilvl="0" w:tplc="21E6BF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nsid w:val="38CE74DA"/>
    <w:multiLevelType w:val="hybridMultilevel"/>
    <w:tmpl w:val="4E1CE16A"/>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3AB909BD"/>
    <w:multiLevelType w:val="hybridMultilevel"/>
    <w:tmpl w:val="EEE4674C"/>
    <w:lvl w:ilvl="0" w:tplc="787E1F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3">
    <w:nsid w:val="3B851F33"/>
    <w:multiLevelType w:val="hybridMultilevel"/>
    <w:tmpl w:val="58A06C60"/>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3BCA7C23"/>
    <w:multiLevelType w:val="hybridMultilevel"/>
    <w:tmpl w:val="F3A0ECD6"/>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3C4E2BFF"/>
    <w:multiLevelType w:val="hybridMultilevel"/>
    <w:tmpl w:val="72AA8816"/>
    <w:lvl w:ilvl="0" w:tplc="DEF630D2">
      <w:numFmt w:val="bullet"/>
      <w:lvlText w:val="-"/>
      <w:lvlJc w:val="left"/>
      <w:pPr>
        <w:ind w:left="1069" w:hanging="360"/>
      </w:pPr>
      <w:rPr>
        <w:rFonts w:ascii="Calibri" w:eastAsiaTheme="minorHAnsi" w:hAnsi="Calibri" w:cstheme="minorBidi"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6">
    <w:nsid w:val="3C891AAB"/>
    <w:multiLevelType w:val="hybridMultilevel"/>
    <w:tmpl w:val="7FA200B2"/>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3D0245AC"/>
    <w:multiLevelType w:val="hybridMultilevel"/>
    <w:tmpl w:val="E9AAE2A6"/>
    <w:lvl w:ilvl="0" w:tplc="DD106F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3E8E0180"/>
    <w:multiLevelType w:val="hybridMultilevel"/>
    <w:tmpl w:val="2254503E"/>
    <w:lvl w:ilvl="0" w:tplc="CA9EB5E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9">
    <w:nsid w:val="3F5E4C20"/>
    <w:multiLevelType w:val="hybridMultilevel"/>
    <w:tmpl w:val="35C896FC"/>
    <w:lvl w:ilvl="0" w:tplc="DD106F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3F7C4A8B"/>
    <w:multiLevelType w:val="hybridMultilevel"/>
    <w:tmpl w:val="445E2D4A"/>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40E02554"/>
    <w:multiLevelType w:val="hybridMultilevel"/>
    <w:tmpl w:val="7A56930C"/>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nsid w:val="42311D04"/>
    <w:multiLevelType w:val="multilevel"/>
    <w:tmpl w:val="A2948786"/>
    <w:lvl w:ilvl="0">
      <w:start w:val="1"/>
      <w:numFmt w:val="lowerLetter"/>
      <w:lvlText w:val="%1)"/>
      <w:lvlJc w:val="left"/>
      <w:pPr>
        <w:ind w:left="720" w:firstLine="0"/>
      </w:pPr>
      <w:rPr>
        <w:rFonts w:ascii="Verdana" w:hAnsi="Verdana" w:hint="default"/>
        <w:b w:val="0"/>
        <w:i w:val="0"/>
        <w:caps w:val="0"/>
        <w:strike w:val="0"/>
        <w:dstrike w:val="0"/>
        <w:vanish w:val="0"/>
        <w:color w:val="auto"/>
        <w:sz w:val="22"/>
        <w:szCs w:val="24"/>
        <w:vertAlign w:val="baseline"/>
      </w:rPr>
    </w:lvl>
    <w:lvl w:ilvl="1">
      <w:start w:val="1"/>
      <w:numFmt w:val="decimal"/>
      <w:lvlText w:val="%1.%2."/>
      <w:lvlJc w:val="left"/>
      <w:pPr>
        <w:ind w:left="1457" w:hanging="737"/>
      </w:pPr>
      <w:rPr>
        <w:rFonts w:hint="default"/>
      </w:rPr>
    </w:lvl>
    <w:lvl w:ilvl="2">
      <w:start w:val="1"/>
      <w:numFmt w:val="decimal"/>
      <w:lvlText w:val="%1.%2.%3."/>
      <w:lvlJc w:val="left"/>
      <w:pPr>
        <w:ind w:left="1911" w:hanging="1191"/>
      </w:pPr>
      <w:rPr>
        <w:rFonts w:hint="default"/>
      </w:rPr>
    </w:lvl>
    <w:lvl w:ilvl="3">
      <w:start w:val="1"/>
      <w:numFmt w:val="decimal"/>
      <w:lvlText w:val="%1.%2.%3.%4."/>
      <w:lvlJc w:val="left"/>
      <w:pPr>
        <w:ind w:left="2308" w:hanging="1588"/>
      </w:pPr>
      <w:rPr>
        <w:rFonts w:hint="default"/>
      </w:rPr>
    </w:lvl>
    <w:lvl w:ilvl="4">
      <w:start w:val="1"/>
      <w:numFmt w:val="lowerLetter"/>
      <w:lvlText w:val="(%5)"/>
      <w:lvlJc w:val="left"/>
      <w:pPr>
        <w:ind w:left="2148" w:firstLine="0"/>
      </w:pPr>
      <w:rPr>
        <w:rFonts w:hint="default"/>
      </w:rPr>
    </w:lvl>
    <w:lvl w:ilvl="5">
      <w:start w:val="1"/>
      <w:numFmt w:val="lowerRoman"/>
      <w:lvlText w:val="(%6)"/>
      <w:lvlJc w:val="left"/>
      <w:pPr>
        <w:ind w:left="2505" w:firstLine="0"/>
      </w:pPr>
      <w:rPr>
        <w:rFonts w:hint="default"/>
      </w:rPr>
    </w:lvl>
    <w:lvl w:ilvl="6">
      <w:start w:val="1"/>
      <w:numFmt w:val="decimal"/>
      <w:lvlText w:val="%7."/>
      <w:lvlJc w:val="left"/>
      <w:pPr>
        <w:ind w:left="2862" w:firstLine="0"/>
      </w:pPr>
      <w:rPr>
        <w:rFonts w:hint="default"/>
      </w:rPr>
    </w:lvl>
    <w:lvl w:ilvl="7">
      <w:start w:val="1"/>
      <w:numFmt w:val="lowerLetter"/>
      <w:lvlText w:val="%8."/>
      <w:lvlJc w:val="left"/>
      <w:pPr>
        <w:ind w:left="3219" w:firstLine="0"/>
      </w:pPr>
      <w:rPr>
        <w:rFonts w:hint="default"/>
      </w:rPr>
    </w:lvl>
    <w:lvl w:ilvl="8">
      <w:start w:val="1"/>
      <w:numFmt w:val="lowerRoman"/>
      <w:lvlText w:val="%9."/>
      <w:lvlJc w:val="left"/>
      <w:pPr>
        <w:ind w:left="3576" w:firstLine="0"/>
      </w:pPr>
      <w:rPr>
        <w:rFonts w:hint="default"/>
      </w:rPr>
    </w:lvl>
  </w:abstractNum>
  <w:abstractNum w:abstractNumId="83">
    <w:nsid w:val="424D5183"/>
    <w:multiLevelType w:val="hybridMultilevel"/>
    <w:tmpl w:val="A7DA0660"/>
    <w:lvl w:ilvl="0" w:tplc="CA9EB5E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426A0C48"/>
    <w:multiLevelType w:val="hybridMultilevel"/>
    <w:tmpl w:val="2AD6B54A"/>
    <w:lvl w:ilvl="0" w:tplc="482049F2">
      <w:start w:val="1"/>
      <w:numFmt w:val="lowerLetter"/>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42810598"/>
    <w:multiLevelType w:val="hybridMultilevel"/>
    <w:tmpl w:val="A9FC9D62"/>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nsid w:val="43BB1906"/>
    <w:multiLevelType w:val="hybridMultilevel"/>
    <w:tmpl w:val="E8C8D28E"/>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47647FA6"/>
    <w:multiLevelType w:val="multilevel"/>
    <w:tmpl w:val="A2424FCC"/>
    <w:lvl w:ilvl="0">
      <w:start w:val="1"/>
      <w:numFmt w:val="lowerLetter"/>
      <w:lvlText w:val="%1)"/>
      <w:lvlJc w:val="left"/>
      <w:pPr>
        <w:ind w:left="720" w:firstLine="0"/>
      </w:pPr>
      <w:rPr>
        <w:rFonts w:ascii="Verdana" w:hAnsi="Verdana" w:hint="default"/>
        <w:b w:val="0"/>
        <w:i w:val="0"/>
        <w:caps w:val="0"/>
        <w:strike w:val="0"/>
        <w:dstrike w:val="0"/>
        <w:vanish w:val="0"/>
        <w:color w:val="auto"/>
        <w:sz w:val="22"/>
        <w:szCs w:val="24"/>
        <w:vertAlign w:val="baseline"/>
      </w:rPr>
    </w:lvl>
    <w:lvl w:ilvl="1">
      <w:start w:val="1"/>
      <w:numFmt w:val="decimal"/>
      <w:lvlText w:val="%1.%2."/>
      <w:lvlJc w:val="left"/>
      <w:pPr>
        <w:ind w:left="1457" w:hanging="737"/>
      </w:pPr>
      <w:rPr>
        <w:rFonts w:hint="default"/>
      </w:rPr>
    </w:lvl>
    <w:lvl w:ilvl="2">
      <w:start w:val="1"/>
      <w:numFmt w:val="decimal"/>
      <w:lvlText w:val="%1.%2.%3."/>
      <w:lvlJc w:val="left"/>
      <w:pPr>
        <w:ind w:left="1911" w:hanging="1191"/>
      </w:pPr>
      <w:rPr>
        <w:rFonts w:hint="default"/>
      </w:rPr>
    </w:lvl>
    <w:lvl w:ilvl="3">
      <w:start w:val="1"/>
      <w:numFmt w:val="decimal"/>
      <w:lvlText w:val="%1.%2.%3.%4."/>
      <w:lvlJc w:val="left"/>
      <w:pPr>
        <w:ind w:left="2308" w:hanging="1588"/>
      </w:pPr>
      <w:rPr>
        <w:rFonts w:hint="default"/>
      </w:rPr>
    </w:lvl>
    <w:lvl w:ilvl="4">
      <w:start w:val="1"/>
      <w:numFmt w:val="lowerLetter"/>
      <w:lvlText w:val="(%5)"/>
      <w:lvlJc w:val="left"/>
      <w:pPr>
        <w:ind w:left="2148" w:firstLine="0"/>
      </w:pPr>
      <w:rPr>
        <w:rFonts w:hint="default"/>
      </w:rPr>
    </w:lvl>
    <w:lvl w:ilvl="5">
      <w:start w:val="1"/>
      <w:numFmt w:val="lowerRoman"/>
      <w:lvlText w:val="(%6)"/>
      <w:lvlJc w:val="left"/>
      <w:pPr>
        <w:ind w:left="2505" w:firstLine="0"/>
      </w:pPr>
      <w:rPr>
        <w:rFonts w:hint="default"/>
      </w:rPr>
    </w:lvl>
    <w:lvl w:ilvl="6">
      <w:start w:val="1"/>
      <w:numFmt w:val="decimal"/>
      <w:lvlText w:val="%7."/>
      <w:lvlJc w:val="left"/>
      <w:pPr>
        <w:ind w:left="2862" w:firstLine="0"/>
      </w:pPr>
      <w:rPr>
        <w:rFonts w:hint="default"/>
      </w:rPr>
    </w:lvl>
    <w:lvl w:ilvl="7">
      <w:start w:val="1"/>
      <w:numFmt w:val="lowerLetter"/>
      <w:lvlText w:val="%8."/>
      <w:lvlJc w:val="left"/>
      <w:pPr>
        <w:ind w:left="3219" w:firstLine="0"/>
      </w:pPr>
      <w:rPr>
        <w:rFonts w:hint="default"/>
      </w:rPr>
    </w:lvl>
    <w:lvl w:ilvl="8">
      <w:start w:val="1"/>
      <w:numFmt w:val="lowerRoman"/>
      <w:lvlText w:val="%9."/>
      <w:lvlJc w:val="left"/>
      <w:pPr>
        <w:ind w:left="3576" w:firstLine="0"/>
      </w:pPr>
      <w:rPr>
        <w:rFonts w:hint="default"/>
      </w:rPr>
    </w:lvl>
  </w:abstractNum>
  <w:abstractNum w:abstractNumId="88">
    <w:nsid w:val="479D0555"/>
    <w:multiLevelType w:val="hybridMultilevel"/>
    <w:tmpl w:val="42C87B30"/>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485C37EC"/>
    <w:multiLevelType w:val="hybridMultilevel"/>
    <w:tmpl w:val="0D9C84A4"/>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nsid w:val="489F4C96"/>
    <w:multiLevelType w:val="hybridMultilevel"/>
    <w:tmpl w:val="9A541098"/>
    <w:lvl w:ilvl="0" w:tplc="72324AE4">
      <w:start w:val="8"/>
      <w:numFmt w:val="bullet"/>
      <w:lvlText w:val="-"/>
      <w:lvlJc w:val="left"/>
      <w:pPr>
        <w:ind w:left="786" w:hanging="360"/>
      </w:pPr>
      <w:rPr>
        <w:rFonts w:ascii="Verdana" w:eastAsiaTheme="minorHAnsi" w:hAnsi="Verdana" w:cs="Times New Roman" w:hint="default"/>
      </w:rPr>
    </w:lvl>
    <w:lvl w:ilvl="1" w:tplc="21E6BFC2">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48B51A99"/>
    <w:multiLevelType w:val="hybridMultilevel"/>
    <w:tmpl w:val="06FA1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nsid w:val="4A9F7ACF"/>
    <w:multiLevelType w:val="multilevel"/>
    <w:tmpl w:val="086A43F6"/>
    <w:styleLink w:val="Style12"/>
    <w:lvl w:ilvl="0">
      <w:start w:val="1"/>
      <w:numFmt w:val="lowerLetter"/>
      <w:lvlText w:val="%1)"/>
      <w:lvlJc w:val="left"/>
      <w:pPr>
        <w:ind w:left="0" w:firstLine="0"/>
      </w:pPr>
      <w:rPr>
        <w:rFonts w:ascii="Verdana" w:hAnsi="Verdana" w:hint="default"/>
        <w:b w:val="0"/>
        <w:i w:val="0"/>
        <w:caps w:val="0"/>
        <w:strike w:val="0"/>
        <w:dstrike w:val="0"/>
        <w:vanish w:val="0"/>
        <w:color w:val="auto"/>
        <w:sz w:val="22"/>
        <w:szCs w:val="24"/>
        <w:vertAlign w:val="baseline"/>
      </w:rPr>
    </w:lvl>
    <w:lvl w:ilvl="1">
      <w:start w:val="1"/>
      <w:numFmt w:val="decimal"/>
      <w:lvlText w:val="%1.%2."/>
      <w:lvlJc w:val="left"/>
      <w:pPr>
        <w:ind w:left="737" w:hanging="737"/>
      </w:pPr>
      <w:rPr>
        <w:rFonts w:hint="default"/>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1428"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93">
    <w:nsid w:val="4AFA0BC6"/>
    <w:multiLevelType w:val="hybridMultilevel"/>
    <w:tmpl w:val="BEE6F208"/>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nsid w:val="4AFA11D5"/>
    <w:multiLevelType w:val="hybridMultilevel"/>
    <w:tmpl w:val="17741B7C"/>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nsid w:val="4B3B4A29"/>
    <w:multiLevelType w:val="hybridMultilevel"/>
    <w:tmpl w:val="8526881A"/>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4B7D3A25"/>
    <w:multiLevelType w:val="multilevel"/>
    <w:tmpl w:val="6264F86A"/>
    <w:lvl w:ilvl="0">
      <w:start w:val="1"/>
      <w:numFmt w:val="lowerLetter"/>
      <w:lvlText w:val="%1)"/>
      <w:lvlJc w:val="left"/>
      <w:pPr>
        <w:ind w:left="720" w:firstLine="0"/>
      </w:pPr>
      <w:rPr>
        <w:rFonts w:ascii="Verdana" w:hAnsi="Verdana" w:hint="default"/>
        <w:b w:val="0"/>
        <w:i w:val="0"/>
        <w:caps w:val="0"/>
        <w:strike w:val="0"/>
        <w:dstrike w:val="0"/>
        <w:vanish w:val="0"/>
        <w:color w:val="auto"/>
        <w:sz w:val="22"/>
        <w:szCs w:val="24"/>
        <w:vertAlign w:val="baseline"/>
      </w:rPr>
    </w:lvl>
    <w:lvl w:ilvl="1">
      <w:start w:val="1"/>
      <w:numFmt w:val="decimal"/>
      <w:lvlText w:val="%1.%2."/>
      <w:lvlJc w:val="left"/>
      <w:pPr>
        <w:ind w:left="1457" w:hanging="737"/>
      </w:pPr>
      <w:rPr>
        <w:rFonts w:hint="default"/>
      </w:rPr>
    </w:lvl>
    <w:lvl w:ilvl="2">
      <w:start w:val="1"/>
      <w:numFmt w:val="decimal"/>
      <w:lvlText w:val="%1.%2.%3."/>
      <w:lvlJc w:val="left"/>
      <w:pPr>
        <w:ind w:left="1911" w:hanging="1191"/>
      </w:pPr>
      <w:rPr>
        <w:rFonts w:hint="default"/>
      </w:rPr>
    </w:lvl>
    <w:lvl w:ilvl="3">
      <w:start w:val="1"/>
      <w:numFmt w:val="decimal"/>
      <w:lvlText w:val="%1.%2.%3.%4."/>
      <w:lvlJc w:val="left"/>
      <w:pPr>
        <w:ind w:left="2308" w:hanging="1588"/>
      </w:pPr>
      <w:rPr>
        <w:rFonts w:hint="default"/>
      </w:rPr>
    </w:lvl>
    <w:lvl w:ilvl="4">
      <w:start w:val="1"/>
      <w:numFmt w:val="lowerLetter"/>
      <w:lvlText w:val="(%5)"/>
      <w:lvlJc w:val="left"/>
      <w:pPr>
        <w:ind w:left="2148" w:firstLine="0"/>
      </w:pPr>
      <w:rPr>
        <w:rFonts w:hint="default"/>
      </w:rPr>
    </w:lvl>
    <w:lvl w:ilvl="5">
      <w:start w:val="1"/>
      <w:numFmt w:val="lowerRoman"/>
      <w:lvlText w:val="(%6)"/>
      <w:lvlJc w:val="left"/>
      <w:pPr>
        <w:ind w:left="2505" w:firstLine="0"/>
      </w:pPr>
      <w:rPr>
        <w:rFonts w:hint="default"/>
      </w:rPr>
    </w:lvl>
    <w:lvl w:ilvl="6">
      <w:start w:val="1"/>
      <w:numFmt w:val="decimal"/>
      <w:lvlText w:val="%7."/>
      <w:lvlJc w:val="left"/>
      <w:pPr>
        <w:ind w:left="2862" w:firstLine="0"/>
      </w:pPr>
      <w:rPr>
        <w:rFonts w:hint="default"/>
      </w:rPr>
    </w:lvl>
    <w:lvl w:ilvl="7">
      <w:start w:val="1"/>
      <w:numFmt w:val="lowerLetter"/>
      <w:lvlText w:val="%8."/>
      <w:lvlJc w:val="left"/>
      <w:pPr>
        <w:ind w:left="3219" w:firstLine="0"/>
      </w:pPr>
      <w:rPr>
        <w:rFonts w:hint="default"/>
      </w:rPr>
    </w:lvl>
    <w:lvl w:ilvl="8">
      <w:start w:val="1"/>
      <w:numFmt w:val="lowerRoman"/>
      <w:lvlText w:val="%9."/>
      <w:lvlJc w:val="left"/>
      <w:pPr>
        <w:ind w:left="3576" w:firstLine="0"/>
      </w:pPr>
      <w:rPr>
        <w:rFonts w:hint="default"/>
      </w:rPr>
    </w:lvl>
  </w:abstractNum>
  <w:abstractNum w:abstractNumId="97">
    <w:nsid w:val="4C5765A0"/>
    <w:multiLevelType w:val="hybridMultilevel"/>
    <w:tmpl w:val="D6CA7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nsid w:val="4D074833"/>
    <w:multiLevelType w:val="hybridMultilevel"/>
    <w:tmpl w:val="19C28B12"/>
    <w:lvl w:ilvl="0" w:tplc="8556A69C">
      <w:start w:val="2"/>
      <w:numFmt w:val="bullet"/>
      <w:lvlText w:val="-"/>
      <w:lvlJc w:val="left"/>
      <w:pPr>
        <w:ind w:left="1069" w:hanging="360"/>
      </w:pPr>
      <w:rPr>
        <w:rFonts w:ascii="Verdana" w:eastAsia="Calibri"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9">
    <w:nsid w:val="4EAC6A1E"/>
    <w:multiLevelType w:val="hybridMultilevel"/>
    <w:tmpl w:val="1ED8A7FC"/>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nsid w:val="534832AE"/>
    <w:multiLevelType w:val="hybridMultilevel"/>
    <w:tmpl w:val="B2CCC5D0"/>
    <w:lvl w:ilvl="0" w:tplc="787E1F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1">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2">
    <w:nsid w:val="558F10CE"/>
    <w:multiLevelType w:val="multilevel"/>
    <w:tmpl w:val="7D989632"/>
    <w:lvl w:ilvl="0">
      <w:start w:val="1"/>
      <w:numFmt w:val="decimal"/>
      <w:lvlText w:val="%1."/>
      <w:lvlJc w:val="left"/>
      <w:pPr>
        <w:ind w:left="0" w:firstLine="0"/>
      </w:pPr>
      <w:rPr>
        <w:rFonts w:hint="default"/>
        <w:sz w:val="28"/>
        <w:szCs w:val="24"/>
      </w:rPr>
    </w:lvl>
    <w:lvl w:ilvl="1">
      <w:start w:val="1"/>
      <w:numFmt w:val="decimal"/>
      <w:lvlText w:val="%1.%2."/>
      <w:lvlJc w:val="left"/>
      <w:pPr>
        <w:ind w:left="737" w:hanging="737"/>
      </w:pPr>
      <w:rPr>
        <w:rFonts w:hint="default"/>
        <w:b/>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710"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103">
    <w:nsid w:val="56CA465A"/>
    <w:multiLevelType w:val="multilevel"/>
    <w:tmpl w:val="7D989632"/>
    <w:lvl w:ilvl="0">
      <w:start w:val="1"/>
      <w:numFmt w:val="decimal"/>
      <w:lvlText w:val="%1."/>
      <w:lvlJc w:val="left"/>
      <w:pPr>
        <w:ind w:left="0" w:firstLine="0"/>
      </w:pPr>
      <w:rPr>
        <w:rFonts w:hint="default"/>
        <w:sz w:val="28"/>
        <w:szCs w:val="24"/>
      </w:rPr>
    </w:lvl>
    <w:lvl w:ilvl="1">
      <w:start w:val="1"/>
      <w:numFmt w:val="decimal"/>
      <w:lvlText w:val="%1.%2."/>
      <w:lvlJc w:val="left"/>
      <w:pPr>
        <w:ind w:left="737" w:hanging="737"/>
      </w:pPr>
      <w:rPr>
        <w:rFonts w:hint="default"/>
        <w:b/>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710"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104">
    <w:nsid w:val="58C12615"/>
    <w:multiLevelType w:val="hybridMultilevel"/>
    <w:tmpl w:val="D2385D62"/>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5A513103"/>
    <w:multiLevelType w:val="hybridMultilevel"/>
    <w:tmpl w:val="816C8E50"/>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nsid w:val="5BA10960"/>
    <w:multiLevelType w:val="hybridMultilevel"/>
    <w:tmpl w:val="9AD66D6C"/>
    <w:lvl w:ilvl="0" w:tplc="5E041836">
      <w:start w:val="1"/>
      <w:numFmt w:val="bullet"/>
      <w:lvlText w:val="•"/>
      <w:lvlJc w:val="left"/>
      <w:pPr>
        <w:tabs>
          <w:tab w:val="num" w:pos="720"/>
        </w:tabs>
        <w:ind w:left="720" w:hanging="360"/>
      </w:pPr>
      <w:rPr>
        <w:rFonts w:ascii="Arial" w:hAnsi="Arial" w:hint="default"/>
      </w:rPr>
    </w:lvl>
    <w:lvl w:ilvl="1" w:tplc="0EE48B5A">
      <w:start w:val="1"/>
      <w:numFmt w:val="bullet"/>
      <w:lvlText w:val="•"/>
      <w:lvlJc w:val="left"/>
      <w:pPr>
        <w:tabs>
          <w:tab w:val="num" w:pos="1440"/>
        </w:tabs>
        <w:ind w:left="1440" w:hanging="360"/>
      </w:pPr>
      <w:rPr>
        <w:rFonts w:ascii="Arial" w:hAnsi="Arial" w:hint="default"/>
      </w:rPr>
    </w:lvl>
    <w:lvl w:ilvl="2" w:tplc="98346D56">
      <w:start w:val="3096"/>
      <w:numFmt w:val="bullet"/>
      <w:lvlText w:val="–"/>
      <w:lvlJc w:val="left"/>
      <w:pPr>
        <w:tabs>
          <w:tab w:val="num" w:pos="2160"/>
        </w:tabs>
        <w:ind w:left="2160" w:hanging="360"/>
      </w:pPr>
      <w:rPr>
        <w:rFonts w:ascii="Calibri" w:hAnsi="Calibri" w:hint="default"/>
      </w:rPr>
    </w:lvl>
    <w:lvl w:ilvl="3" w:tplc="56E28038">
      <w:numFmt w:val="bullet"/>
      <w:lvlText w:val="-"/>
      <w:lvlJc w:val="left"/>
      <w:pPr>
        <w:ind w:left="2880" w:hanging="360"/>
      </w:pPr>
      <w:rPr>
        <w:rFonts w:ascii="Verdana" w:eastAsia="Calibri" w:hAnsi="Verdana" w:cs="Arial" w:hint="default"/>
      </w:rPr>
    </w:lvl>
    <w:lvl w:ilvl="4" w:tplc="860CF7F2" w:tentative="1">
      <w:start w:val="1"/>
      <w:numFmt w:val="bullet"/>
      <w:lvlText w:val="•"/>
      <w:lvlJc w:val="left"/>
      <w:pPr>
        <w:tabs>
          <w:tab w:val="num" w:pos="3600"/>
        </w:tabs>
        <w:ind w:left="3600" w:hanging="360"/>
      </w:pPr>
      <w:rPr>
        <w:rFonts w:ascii="Arial" w:hAnsi="Arial" w:hint="default"/>
      </w:rPr>
    </w:lvl>
    <w:lvl w:ilvl="5" w:tplc="BF0A676C" w:tentative="1">
      <w:start w:val="1"/>
      <w:numFmt w:val="bullet"/>
      <w:lvlText w:val="•"/>
      <w:lvlJc w:val="left"/>
      <w:pPr>
        <w:tabs>
          <w:tab w:val="num" w:pos="4320"/>
        </w:tabs>
        <w:ind w:left="4320" w:hanging="360"/>
      </w:pPr>
      <w:rPr>
        <w:rFonts w:ascii="Arial" w:hAnsi="Arial" w:hint="default"/>
      </w:rPr>
    </w:lvl>
    <w:lvl w:ilvl="6" w:tplc="2B26A162" w:tentative="1">
      <w:start w:val="1"/>
      <w:numFmt w:val="bullet"/>
      <w:lvlText w:val="•"/>
      <w:lvlJc w:val="left"/>
      <w:pPr>
        <w:tabs>
          <w:tab w:val="num" w:pos="5040"/>
        </w:tabs>
        <w:ind w:left="5040" w:hanging="360"/>
      </w:pPr>
      <w:rPr>
        <w:rFonts w:ascii="Arial" w:hAnsi="Arial" w:hint="default"/>
      </w:rPr>
    </w:lvl>
    <w:lvl w:ilvl="7" w:tplc="964EA21A" w:tentative="1">
      <w:start w:val="1"/>
      <w:numFmt w:val="bullet"/>
      <w:lvlText w:val="•"/>
      <w:lvlJc w:val="left"/>
      <w:pPr>
        <w:tabs>
          <w:tab w:val="num" w:pos="5760"/>
        </w:tabs>
        <w:ind w:left="5760" w:hanging="360"/>
      </w:pPr>
      <w:rPr>
        <w:rFonts w:ascii="Arial" w:hAnsi="Arial" w:hint="default"/>
      </w:rPr>
    </w:lvl>
    <w:lvl w:ilvl="8" w:tplc="61124552" w:tentative="1">
      <w:start w:val="1"/>
      <w:numFmt w:val="bullet"/>
      <w:lvlText w:val="•"/>
      <w:lvlJc w:val="left"/>
      <w:pPr>
        <w:tabs>
          <w:tab w:val="num" w:pos="6480"/>
        </w:tabs>
        <w:ind w:left="6480" w:hanging="360"/>
      </w:pPr>
      <w:rPr>
        <w:rFonts w:ascii="Arial" w:hAnsi="Arial" w:hint="default"/>
      </w:rPr>
    </w:lvl>
  </w:abstractNum>
  <w:abstractNum w:abstractNumId="107">
    <w:nsid w:val="5C016E07"/>
    <w:multiLevelType w:val="hybridMultilevel"/>
    <w:tmpl w:val="8E2820E4"/>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nsid w:val="5C8C3BDB"/>
    <w:multiLevelType w:val="multilevel"/>
    <w:tmpl w:val="92E6FCC4"/>
    <w:lvl w:ilvl="0">
      <w:start w:val="1"/>
      <w:numFmt w:val="decimal"/>
      <w:pStyle w:val="AlineasCEIOPS"/>
      <w:lvlText w:val="%1."/>
      <w:lvlJc w:val="left"/>
      <w:pPr>
        <w:tabs>
          <w:tab w:val="num" w:pos="567"/>
        </w:tabs>
        <w:ind w:left="357" w:hanging="357"/>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9">
    <w:nsid w:val="5D652D50"/>
    <w:multiLevelType w:val="hybridMultilevel"/>
    <w:tmpl w:val="C6E01246"/>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nsid w:val="5D682071"/>
    <w:multiLevelType w:val="multilevel"/>
    <w:tmpl w:val="D0E21944"/>
    <w:lvl w:ilvl="0">
      <w:start w:val="1"/>
      <w:numFmt w:val="lowerLetter"/>
      <w:lvlText w:val="%1)"/>
      <w:lvlJc w:val="left"/>
      <w:pPr>
        <w:ind w:left="720" w:firstLine="0"/>
      </w:pPr>
      <w:rPr>
        <w:rFonts w:ascii="Verdana" w:hAnsi="Verdana" w:hint="default"/>
        <w:b w:val="0"/>
        <w:i w:val="0"/>
        <w:caps w:val="0"/>
        <w:strike w:val="0"/>
        <w:dstrike w:val="0"/>
        <w:vanish w:val="0"/>
        <w:color w:val="auto"/>
        <w:sz w:val="22"/>
        <w:szCs w:val="24"/>
        <w:vertAlign w:val="baseline"/>
      </w:rPr>
    </w:lvl>
    <w:lvl w:ilvl="1">
      <w:start w:val="1"/>
      <w:numFmt w:val="decimal"/>
      <w:lvlText w:val="%1.%2."/>
      <w:lvlJc w:val="left"/>
      <w:pPr>
        <w:ind w:left="1457" w:hanging="737"/>
      </w:pPr>
      <w:rPr>
        <w:rFonts w:hint="default"/>
      </w:rPr>
    </w:lvl>
    <w:lvl w:ilvl="2">
      <w:start w:val="1"/>
      <w:numFmt w:val="decimal"/>
      <w:lvlText w:val="%1.%2.%3."/>
      <w:lvlJc w:val="left"/>
      <w:pPr>
        <w:ind w:left="1911" w:hanging="1191"/>
      </w:pPr>
      <w:rPr>
        <w:rFonts w:hint="default"/>
      </w:rPr>
    </w:lvl>
    <w:lvl w:ilvl="3">
      <w:start w:val="1"/>
      <w:numFmt w:val="decimal"/>
      <w:lvlText w:val="%1.%2.%3.%4."/>
      <w:lvlJc w:val="left"/>
      <w:pPr>
        <w:ind w:left="2308" w:hanging="1588"/>
      </w:pPr>
      <w:rPr>
        <w:rFonts w:hint="default"/>
      </w:rPr>
    </w:lvl>
    <w:lvl w:ilvl="4">
      <w:start w:val="1"/>
      <w:numFmt w:val="lowerLetter"/>
      <w:lvlText w:val="(%5)"/>
      <w:lvlJc w:val="left"/>
      <w:pPr>
        <w:ind w:left="2148" w:firstLine="0"/>
      </w:pPr>
      <w:rPr>
        <w:rFonts w:hint="default"/>
      </w:rPr>
    </w:lvl>
    <w:lvl w:ilvl="5">
      <w:start w:val="1"/>
      <w:numFmt w:val="lowerRoman"/>
      <w:lvlText w:val="(%6)"/>
      <w:lvlJc w:val="left"/>
      <w:pPr>
        <w:ind w:left="2505" w:firstLine="0"/>
      </w:pPr>
      <w:rPr>
        <w:rFonts w:hint="default"/>
      </w:rPr>
    </w:lvl>
    <w:lvl w:ilvl="6">
      <w:start w:val="1"/>
      <w:numFmt w:val="decimal"/>
      <w:lvlText w:val="%7."/>
      <w:lvlJc w:val="left"/>
      <w:pPr>
        <w:ind w:left="2862" w:firstLine="0"/>
      </w:pPr>
      <w:rPr>
        <w:rFonts w:hint="default"/>
      </w:rPr>
    </w:lvl>
    <w:lvl w:ilvl="7">
      <w:start w:val="1"/>
      <w:numFmt w:val="lowerLetter"/>
      <w:lvlText w:val="%8."/>
      <w:lvlJc w:val="left"/>
      <w:pPr>
        <w:ind w:left="3219" w:firstLine="0"/>
      </w:pPr>
      <w:rPr>
        <w:rFonts w:hint="default"/>
      </w:rPr>
    </w:lvl>
    <w:lvl w:ilvl="8">
      <w:start w:val="1"/>
      <w:numFmt w:val="lowerRoman"/>
      <w:lvlText w:val="%9."/>
      <w:lvlJc w:val="left"/>
      <w:pPr>
        <w:ind w:left="3576" w:firstLine="0"/>
      </w:pPr>
      <w:rPr>
        <w:rFonts w:hint="default"/>
      </w:rPr>
    </w:lvl>
  </w:abstractNum>
  <w:abstractNum w:abstractNumId="111">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nsid w:val="5DF30940"/>
    <w:multiLevelType w:val="hybridMultilevel"/>
    <w:tmpl w:val="64E63900"/>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nsid w:val="60B84500"/>
    <w:multiLevelType w:val="hybridMultilevel"/>
    <w:tmpl w:val="6798BFCC"/>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61362CE2"/>
    <w:multiLevelType w:val="hybridMultilevel"/>
    <w:tmpl w:val="B49C5C20"/>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nsid w:val="620A5CAA"/>
    <w:multiLevelType w:val="hybridMultilevel"/>
    <w:tmpl w:val="E1261F2C"/>
    <w:lvl w:ilvl="0" w:tplc="EBD4E3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nsid w:val="622864AC"/>
    <w:multiLevelType w:val="hybridMultilevel"/>
    <w:tmpl w:val="E1261F2C"/>
    <w:lvl w:ilvl="0" w:tplc="EBD4E3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623E3913"/>
    <w:multiLevelType w:val="multilevel"/>
    <w:tmpl w:val="D64A94A8"/>
    <w:lvl w:ilvl="0">
      <w:start w:val="1"/>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8">
    <w:nsid w:val="62BE5C6E"/>
    <w:multiLevelType w:val="hybridMultilevel"/>
    <w:tmpl w:val="CA0CD6CE"/>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nsid w:val="631619EF"/>
    <w:multiLevelType w:val="hybridMultilevel"/>
    <w:tmpl w:val="9DA0A312"/>
    <w:lvl w:ilvl="0" w:tplc="880EFF4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nsid w:val="635D2E8C"/>
    <w:multiLevelType w:val="hybridMultilevel"/>
    <w:tmpl w:val="8CB455D0"/>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nsid w:val="63A740BE"/>
    <w:multiLevelType w:val="hybridMultilevel"/>
    <w:tmpl w:val="DA0CACB2"/>
    <w:lvl w:ilvl="0" w:tplc="21E6BFC2">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nsid w:val="645E48E2"/>
    <w:multiLevelType w:val="hybridMultilevel"/>
    <w:tmpl w:val="E222E1E0"/>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nsid w:val="653A242C"/>
    <w:multiLevelType w:val="hybridMultilevel"/>
    <w:tmpl w:val="9792671A"/>
    <w:lvl w:ilvl="0" w:tplc="EBD4E3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68D926AF"/>
    <w:multiLevelType w:val="hybridMultilevel"/>
    <w:tmpl w:val="C32264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nsid w:val="69995580"/>
    <w:multiLevelType w:val="singleLevel"/>
    <w:tmpl w:val="04C8E0E4"/>
    <w:name w:val="Bullet 0"/>
    <w:lvl w:ilvl="0">
      <w:start w:val="52"/>
      <w:numFmt w:val="decimal"/>
      <w:lvlRestart w:val="0"/>
      <w:pStyle w:val="Considrant"/>
      <w:lvlText w:val="(%1)"/>
      <w:lvlJc w:val="left"/>
      <w:pPr>
        <w:tabs>
          <w:tab w:val="num" w:pos="709"/>
        </w:tabs>
        <w:ind w:left="709" w:hanging="709"/>
      </w:pPr>
      <w:rPr>
        <w:rFonts w:hint="default"/>
      </w:rPr>
    </w:lvl>
  </w:abstractNum>
  <w:abstractNum w:abstractNumId="126">
    <w:nsid w:val="69ED7335"/>
    <w:multiLevelType w:val="hybridMultilevel"/>
    <w:tmpl w:val="957E9CF6"/>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nsid w:val="6B26611B"/>
    <w:multiLevelType w:val="hybridMultilevel"/>
    <w:tmpl w:val="0D107970"/>
    <w:lvl w:ilvl="0" w:tplc="31003DBE">
      <w:start w:val="9"/>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8">
    <w:nsid w:val="6C1666D2"/>
    <w:multiLevelType w:val="hybridMultilevel"/>
    <w:tmpl w:val="33F0E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nsid w:val="6DB80770"/>
    <w:multiLevelType w:val="hybridMultilevel"/>
    <w:tmpl w:val="198C77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nsid w:val="6F067B8E"/>
    <w:multiLevelType w:val="multilevel"/>
    <w:tmpl w:val="2CF8B2C2"/>
    <w:lvl w:ilvl="0">
      <w:start w:val="1"/>
      <w:numFmt w:val="lowerLetter"/>
      <w:lvlText w:val="%1)"/>
      <w:lvlJc w:val="left"/>
      <w:pPr>
        <w:ind w:left="720" w:firstLine="0"/>
      </w:pPr>
      <w:rPr>
        <w:rFonts w:ascii="Verdana" w:hAnsi="Verdana" w:hint="default"/>
        <w:b w:val="0"/>
        <w:i w:val="0"/>
        <w:caps w:val="0"/>
        <w:strike w:val="0"/>
        <w:dstrike w:val="0"/>
        <w:vanish w:val="0"/>
        <w:color w:val="auto"/>
        <w:sz w:val="22"/>
        <w:szCs w:val="24"/>
        <w:vertAlign w:val="baseline"/>
      </w:rPr>
    </w:lvl>
    <w:lvl w:ilvl="1">
      <w:start w:val="1"/>
      <w:numFmt w:val="decimal"/>
      <w:lvlText w:val="%1.%2."/>
      <w:lvlJc w:val="left"/>
      <w:pPr>
        <w:ind w:left="1457" w:hanging="737"/>
      </w:pPr>
      <w:rPr>
        <w:rFonts w:hint="default"/>
      </w:rPr>
    </w:lvl>
    <w:lvl w:ilvl="2">
      <w:start w:val="1"/>
      <w:numFmt w:val="decimal"/>
      <w:lvlText w:val="%1.%2.%3."/>
      <w:lvlJc w:val="left"/>
      <w:pPr>
        <w:ind w:left="1911" w:hanging="1191"/>
      </w:pPr>
      <w:rPr>
        <w:rFonts w:hint="default"/>
      </w:rPr>
    </w:lvl>
    <w:lvl w:ilvl="3">
      <w:start w:val="1"/>
      <w:numFmt w:val="decimal"/>
      <w:lvlText w:val="%1.%2.%3.%4."/>
      <w:lvlJc w:val="left"/>
      <w:pPr>
        <w:ind w:left="2308" w:hanging="1588"/>
      </w:pPr>
      <w:rPr>
        <w:rFonts w:hint="default"/>
      </w:rPr>
    </w:lvl>
    <w:lvl w:ilvl="4">
      <w:start w:val="1"/>
      <w:numFmt w:val="lowerLetter"/>
      <w:lvlText w:val="(%5)"/>
      <w:lvlJc w:val="left"/>
      <w:pPr>
        <w:ind w:left="2148" w:firstLine="0"/>
      </w:pPr>
      <w:rPr>
        <w:rFonts w:hint="default"/>
      </w:rPr>
    </w:lvl>
    <w:lvl w:ilvl="5">
      <w:start w:val="1"/>
      <w:numFmt w:val="lowerRoman"/>
      <w:lvlText w:val="(%6)"/>
      <w:lvlJc w:val="left"/>
      <w:pPr>
        <w:ind w:left="2505" w:firstLine="0"/>
      </w:pPr>
      <w:rPr>
        <w:rFonts w:hint="default"/>
      </w:rPr>
    </w:lvl>
    <w:lvl w:ilvl="6">
      <w:start w:val="1"/>
      <w:numFmt w:val="decimal"/>
      <w:lvlText w:val="%7."/>
      <w:lvlJc w:val="left"/>
      <w:pPr>
        <w:ind w:left="2862" w:firstLine="0"/>
      </w:pPr>
      <w:rPr>
        <w:rFonts w:hint="default"/>
      </w:rPr>
    </w:lvl>
    <w:lvl w:ilvl="7">
      <w:start w:val="1"/>
      <w:numFmt w:val="lowerLetter"/>
      <w:lvlText w:val="%8."/>
      <w:lvlJc w:val="left"/>
      <w:pPr>
        <w:ind w:left="3219" w:firstLine="0"/>
      </w:pPr>
      <w:rPr>
        <w:rFonts w:hint="default"/>
      </w:rPr>
    </w:lvl>
    <w:lvl w:ilvl="8">
      <w:start w:val="1"/>
      <w:numFmt w:val="lowerRoman"/>
      <w:lvlText w:val="%9."/>
      <w:lvlJc w:val="left"/>
      <w:pPr>
        <w:ind w:left="3576" w:firstLine="0"/>
      </w:pPr>
      <w:rPr>
        <w:rFonts w:hint="default"/>
      </w:rPr>
    </w:lvl>
  </w:abstractNum>
  <w:abstractNum w:abstractNumId="131">
    <w:nsid w:val="715232A9"/>
    <w:multiLevelType w:val="hybridMultilevel"/>
    <w:tmpl w:val="C32264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nsid w:val="716F0927"/>
    <w:multiLevelType w:val="hybridMultilevel"/>
    <w:tmpl w:val="BED6AE00"/>
    <w:lvl w:ilvl="0" w:tplc="04090017">
      <w:start w:val="1"/>
      <w:numFmt w:val="lowerLetter"/>
      <w:pStyle w:val="NumPar1"/>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nsid w:val="72981088"/>
    <w:multiLevelType w:val="multilevel"/>
    <w:tmpl w:val="D3200074"/>
    <w:name w:val="Considérant__1222222"/>
    <w:styleLink w:val="Style1"/>
    <w:lvl w:ilvl="0">
      <w:start w:val="1"/>
      <w:numFmt w:val="decimal"/>
      <w:lvlText w:val="%1."/>
      <w:lvlJc w:val="left"/>
      <w:pPr>
        <w:ind w:left="0" w:firstLine="0"/>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1428"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134">
    <w:nsid w:val="732C3A98"/>
    <w:multiLevelType w:val="hybridMultilevel"/>
    <w:tmpl w:val="A7DA0660"/>
    <w:lvl w:ilvl="0" w:tplc="CA9EB5E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nsid w:val="766C6DDD"/>
    <w:multiLevelType w:val="hybridMultilevel"/>
    <w:tmpl w:val="89B0CE9A"/>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nsid w:val="76CD5B8E"/>
    <w:multiLevelType w:val="hybridMultilevel"/>
    <w:tmpl w:val="839C5DE2"/>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77315753"/>
    <w:multiLevelType w:val="hybridMultilevel"/>
    <w:tmpl w:val="E9AAE2A6"/>
    <w:lvl w:ilvl="0" w:tplc="DD106F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nsid w:val="7AF55E67"/>
    <w:multiLevelType w:val="hybridMultilevel"/>
    <w:tmpl w:val="9DF8CC78"/>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nsid w:val="7B4B40EC"/>
    <w:multiLevelType w:val="hybridMultilevel"/>
    <w:tmpl w:val="ABD207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nsid w:val="7BBF1329"/>
    <w:multiLevelType w:val="hybridMultilevel"/>
    <w:tmpl w:val="38A6BA90"/>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nsid w:val="7C7448FC"/>
    <w:multiLevelType w:val="hybridMultilevel"/>
    <w:tmpl w:val="C32264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nsid w:val="7CBC0A83"/>
    <w:multiLevelType w:val="hybridMultilevel"/>
    <w:tmpl w:val="325EA13C"/>
    <w:lvl w:ilvl="0" w:tplc="89F4F134">
      <w:start w:val="1"/>
      <w:numFmt w:val="lowerLetter"/>
      <w:lvlText w:val="%1)"/>
      <w:lvlJc w:val="left"/>
      <w:pPr>
        <w:ind w:left="720" w:hanging="360"/>
      </w:pPr>
      <w:rPr>
        <w:rFonts w:ascii="Verdana" w:hAnsi="Verdana" w:hint="default"/>
        <w:sz w:val="22"/>
        <w:szCs w:val="22"/>
      </w:rPr>
    </w:lvl>
    <w:lvl w:ilvl="1" w:tplc="10BA34C2">
      <w:start w:val="1"/>
      <w:numFmt w:val="lowerRoman"/>
      <w:lvlText w:val="%2."/>
      <w:lvlJc w:val="right"/>
      <w:pPr>
        <w:ind w:left="1440" w:hanging="360"/>
      </w:pPr>
      <w:rPr>
        <w:rFonts w:ascii="Verdana" w:hAnsi="Verdana" w:hint="default"/>
        <w:b w:val="0"/>
        <w:i w:val="0"/>
        <w:caps w:val="0"/>
        <w:strike w:val="0"/>
        <w:dstrike w:val="0"/>
        <w:vanish w:val="0"/>
        <w:color w:val="auto"/>
        <w:sz w:val="22"/>
        <w:szCs w:val="22"/>
        <w:vertAlign w:val="baseline"/>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nsid w:val="7CBE4812"/>
    <w:multiLevelType w:val="singleLevel"/>
    <w:tmpl w:val="23C821E4"/>
    <w:name w:val="Considérant"/>
    <w:lvl w:ilvl="0">
      <w:start w:val="1"/>
      <w:numFmt w:val="decimal"/>
      <w:lvlText w:val="(%1)"/>
      <w:lvlJc w:val="left"/>
      <w:pPr>
        <w:tabs>
          <w:tab w:val="num" w:pos="709"/>
        </w:tabs>
        <w:ind w:left="709" w:hanging="709"/>
      </w:pPr>
    </w:lvl>
  </w:abstractNum>
  <w:abstractNum w:abstractNumId="144">
    <w:nsid w:val="7D835259"/>
    <w:multiLevelType w:val="hybridMultilevel"/>
    <w:tmpl w:val="BECAF2C0"/>
    <w:lvl w:ilvl="0" w:tplc="21E6BFC2">
      <w:start w:val="1"/>
      <w:numFmt w:val="lowerLetter"/>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45">
    <w:nsid w:val="7E5975E4"/>
    <w:multiLevelType w:val="hybridMultilevel"/>
    <w:tmpl w:val="1BF87522"/>
    <w:lvl w:ilvl="0" w:tplc="21E6BFC2">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nsid w:val="7EA2625E"/>
    <w:multiLevelType w:val="hybridMultilevel"/>
    <w:tmpl w:val="1A8EF862"/>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47">
    <w:nsid w:val="7EDC221D"/>
    <w:multiLevelType w:val="multilevel"/>
    <w:tmpl w:val="E966760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b w:val="0"/>
        <w:color w:val="auto"/>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8">
    <w:nsid w:val="7F4F50E8"/>
    <w:multiLevelType w:val="hybridMultilevel"/>
    <w:tmpl w:val="30742D46"/>
    <w:lvl w:ilvl="0" w:tplc="E4F4E5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9">
    <w:nsid w:val="7F6B0011"/>
    <w:multiLevelType w:val="hybridMultilevel"/>
    <w:tmpl w:val="334420BA"/>
    <w:lvl w:ilvl="0" w:tplc="880EFF44">
      <w:start w:val="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2"/>
  </w:num>
  <w:num w:numId="2">
    <w:abstractNumId w:val="133"/>
  </w:num>
  <w:num w:numId="3">
    <w:abstractNumId w:val="9"/>
  </w:num>
  <w:num w:numId="4">
    <w:abstractNumId w:val="45"/>
  </w:num>
  <w:num w:numId="5">
    <w:abstractNumId w:val="34"/>
  </w:num>
  <w:num w:numId="6">
    <w:abstractNumId w:val="87"/>
  </w:num>
  <w:num w:numId="7">
    <w:abstractNumId w:val="62"/>
  </w:num>
  <w:num w:numId="8">
    <w:abstractNumId w:val="82"/>
  </w:num>
  <w:num w:numId="9">
    <w:abstractNumId w:val="108"/>
  </w:num>
  <w:num w:numId="10">
    <w:abstractNumId w:val="26"/>
  </w:num>
  <w:num w:numId="11">
    <w:abstractNumId w:val="125"/>
  </w:num>
  <w:num w:numId="12">
    <w:abstractNumId w:val="117"/>
  </w:num>
  <w:num w:numId="13">
    <w:abstractNumId w:val="91"/>
  </w:num>
  <w:num w:numId="14">
    <w:abstractNumId w:val="32"/>
  </w:num>
  <w:num w:numId="15">
    <w:abstractNumId w:val="129"/>
  </w:num>
  <w:num w:numId="16">
    <w:abstractNumId w:val="29"/>
  </w:num>
  <w:num w:numId="17">
    <w:abstractNumId w:val="110"/>
  </w:num>
  <w:num w:numId="18">
    <w:abstractNumId w:val="96"/>
  </w:num>
  <w:num w:numId="19">
    <w:abstractNumId w:val="92"/>
  </w:num>
  <w:num w:numId="20">
    <w:abstractNumId w:val="106"/>
  </w:num>
  <w:num w:numId="21">
    <w:abstractNumId w:val="14"/>
  </w:num>
  <w:num w:numId="22">
    <w:abstractNumId w:val="90"/>
  </w:num>
  <w:num w:numId="23">
    <w:abstractNumId w:val="17"/>
  </w:num>
  <w:num w:numId="24">
    <w:abstractNumId w:val="30"/>
  </w:num>
  <w:num w:numId="25">
    <w:abstractNumId w:val="147"/>
  </w:num>
  <w:num w:numId="26">
    <w:abstractNumId w:val="37"/>
  </w:num>
  <w:num w:numId="27">
    <w:abstractNumId w:val="139"/>
  </w:num>
  <w:num w:numId="28">
    <w:abstractNumId w:val="48"/>
  </w:num>
  <w:num w:numId="29">
    <w:abstractNumId w:val="128"/>
  </w:num>
  <w:num w:numId="30">
    <w:abstractNumId w:val="127"/>
  </w:num>
  <w:num w:numId="31">
    <w:abstractNumId w:val="142"/>
  </w:num>
  <w:num w:numId="32">
    <w:abstractNumId w:val="55"/>
  </w:num>
  <w:num w:numId="33">
    <w:abstractNumId w:val="55"/>
    <w:lvlOverride w:ilvl="0">
      <w:startOverride w:val="1"/>
    </w:lvlOverride>
  </w:num>
  <w:num w:numId="34">
    <w:abstractNumId w:val="55"/>
    <w:lvlOverride w:ilvl="0">
      <w:startOverride w:val="1"/>
    </w:lvlOverride>
  </w:num>
  <w:num w:numId="35">
    <w:abstractNumId w:val="98"/>
  </w:num>
  <w:num w:numId="36">
    <w:abstractNumId w:val="97"/>
  </w:num>
  <w:num w:numId="37">
    <w:abstractNumId w:val="130"/>
  </w:num>
  <w:num w:numId="38">
    <w:abstractNumId w:val="46"/>
  </w:num>
  <w:num w:numId="39">
    <w:abstractNumId w:val="57"/>
  </w:num>
  <w:num w:numId="40">
    <w:abstractNumId w:val="85"/>
  </w:num>
  <w:num w:numId="41">
    <w:abstractNumId w:val="55"/>
  </w:num>
  <w:num w:numId="42">
    <w:abstractNumId w:val="75"/>
  </w:num>
  <w:num w:numId="43">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num>
  <w:num w:numId="45">
    <w:abstractNumId w:val="144"/>
  </w:num>
  <w:num w:numId="46">
    <w:abstractNumId w:val="95"/>
  </w:num>
  <w:num w:numId="47">
    <w:abstractNumId w:val="15"/>
  </w:num>
  <w:num w:numId="48">
    <w:abstractNumId w:val="145"/>
  </w:num>
  <w:num w:numId="49">
    <w:abstractNumId w:val="54"/>
  </w:num>
  <w:num w:numId="50">
    <w:abstractNumId w:val="121"/>
  </w:num>
  <w:num w:numId="51">
    <w:abstractNumId w:val="67"/>
  </w:num>
  <w:num w:numId="52">
    <w:abstractNumId w:val="63"/>
  </w:num>
  <w:num w:numId="53">
    <w:abstractNumId w:val="7"/>
  </w:num>
  <w:num w:numId="54">
    <w:abstractNumId w:val="6"/>
  </w:num>
  <w:num w:numId="55">
    <w:abstractNumId w:val="5"/>
  </w:num>
  <w:num w:numId="56">
    <w:abstractNumId w:val="4"/>
  </w:num>
  <w:num w:numId="57">
    <w:abstractNumId w:val="8"/>
  </w:num>
  <w:num w:numId="58">
    <w:abstractNumId w:val="3"/>
  </w:num>
  <w:num w:numId="59">
    <w:abstractNumId w:val="2"/>
  </w:num>
  <w:num w:numId="60">
    <w:abstractNumId w:val="1"/>
  </w:num>
  <w:num w:numId="61">
    <w:abstractNumId w:val="0"/>
  </w:num>
  <w:num w:numId="62">
    <w:abstractNumId w:val="103"/>
  </w:num>
  <w:num w:numId="63">
    <w:abstractNumId w:val="70"/>
  </w:num>
  <w:num w:numId="64">
    <w:abstractNumId w:val="141"/>
  </w:num>
  <w:num w:numId="65">
    <w:abstractNumId w:val="124"/>
  </w:num>
  <w:num w:numId="66">
    <w:abstractNumId w:val="131"/>
  </w:num>
  <w:num w:numId="67">
    <w:abstractNumId w:val="102"/>
  </w:num>
  <w:num w:numId="68">
    <w:abstractNumId w:val="40"/>
  </w:num>
  <w:num w:numId="69">
    <w:abstractNumId w:val="50"/>
  </w:num>
  <w:num w:numId="70">
    <w:abstractNumId w:val="52"/>
  </w:num>
  <w:num w:numId="71">
    <w:abstractNumId w:val="18"/>
  </w:num>
  <w:num w:numId="72">
    <w:abstractNumId w:val="149"/>
  </w:num>
  <w:num w:numId="73">
    <w:abstractNumId w:val="22"/>
  </w:num>
  <w:num w:numId="74">
    <w:abstractNumId w:val="137"/>
  </w:num>
  <w:num w:numId="75">
    <w:abstractNumId w:val="115"/>
  </w:num>
  <w:num w:numId="76">
    <w:abstractNumId w:val="77"/>
  </w:num>
  <w:num w:numId="77">
    <w:abstractNumId w:val="79"/>
  </w:num>
  <w:num w:numId="78">
    <w:abstractNumId w:val="109"/>
  </w:num>
  <w:num w:numId="79">
    <w:abstractNumId w:val="20"/>
  </w:num>
  <w:num w:numId="80">
    <w:abstractNumId w:val="21"/>
  </w:num>
  <w:num w:numId="81">
    <w:abstractNumId w:val="19"/>
  </w:num>
  <w:num w:numId="82">
    <w:abstractNumId w:val="134"/>
  </w:num>
  <w:num w:numId="83">
    <w:abstractNumId w:val="36"/>
  </w:num>
  <w:num w:numId="84">
    <w:abstractNumId w:val="60"/>
  </w:num>
  <w:num w:numId="85">
    <w:abstractNumId w:val="23"/>
  </w:num>
  <w:num w:numId="86">
    <w:abstractNumId w:val="59"/>
  </w:num>
  <w:num w:numId="87">
    <w:abstractNumId w:val="101"/>
  </w:num>
  <w:num w:numId="88">
    <w:abstractNumId w:val="111"/>
  </w:num>
  <w:num w:numId="89">
    <w:abstractNumId w:val="148"/>
  </w:num>
  <w:num w:numId="90">
    <w:abstractNumId w:val="44"/>
  </w:num>
  <w:num w:numId="91">
    <w:abstractNumId w:val="112"/>
  </w:num>
  <w:num w:numId="92">
    <w:abstractNumId w:val="56"/>
  </w:num>
  <w:num w:numId="93">
    <w:abstractNumId w:val="24"/>
  </w:num>
  <w:num w:numId="94">
    <w:abstractNumId w:val="104"/>
  </w:num>
  <w:num w:numId="95">
    <w:abstractNumId w:val="10"/>
  </w:num>
  <w:num w:numId="96">
    <w:abstractNumId w:val="76"/>
  </w:num>
  <w:num w:numId="97">
    <w:abstractNumId w:val="138"/>
  </w:num>
  <w:num w:numId="98">
    <w:abstractNumId w:val="86"/>
  </w:num>
  <w:num w:numId="99">
    <w:abstractNumId w:val="81"/>
  </w:num>
  <w:num w:numId="100">
    <w:abstractNumId w:val="49"/>
  </w:num>
  <w:num w:numId="101">
    <w:abstractNumId w:val="113"/>
  </w:num>
  <w:num w:numId="102">
    <w:abstractNumId w:val="135"/>
  </w:num>
  <w:num w:numId="103">
    <w:abstractNumId w:val="74"/>
  </w:num>
  <w:num w:numId="104">
    <w:abstractNumId w:val="140"/>
  </w:num>
  <w:num w:numId="105">
    <w:abstractNumId w:val="120"/>
  </w:num>
  <w:num w:numId="106">
    <w:abstractNumId w:val="119"/>
  </w:num>
  <w:num w:numId="107">
    <w:abstractNumId w:val="72"/>
  </w:num>
  <w:num w:numId="108">
    <w:abstractNumId w:val="118"/>
  </w:num>
  <w:num w:numId="109">
    <w:abstractNumId w:val="11"/>
  </w:num>
  <w:num w:numId="110">
    <w:abstractNumId w:val="51"/>
  </w:num>
  <w:num w:numId="111">
    <w:abstractNumId w:val="107"/>
  </w:num>
  <w:num w:numId="112">
    <w:abstractNumId w:val="43"/>
  </w:num>
  <w:num w:numId="113">
    <w:abstractNumId w:val="88"/>
  </w:num>
  <w:num w:numId="114">
    <w:abstractNumId w:val="13"/>
  </w:num>
  <w:num w:numId="115">
    <w:abstractNumId w:val="42"/>
  </w:num>
  <w:num w:numId="116">
    <w:abstractNumId w:val="105"/>
  </w:num>
  <w:num w:numId="117">
    <w:abstractNumId w:val="99"/>
  </w:num>
  <w:num w:numId="118">
    <w:abstractNumId w:val="114"/>
  </w:num>
  <w:num w:numId="119">
    <w:abstractNumId w:val="94"/>
  </w:num>
  <w:num w:numId="120">
    <w:abstractNumId w:val="126"/>
  </w:num>
  <w:num w:numId="121">
    <w:abstractNumId w:val="27"/>
  </w:num>
  <w:num w:numId="122">
    <w:abstractNumId w:val="71"/>
  </w:num>
  <w:num w:numId="123">
    <w:abstractNumId w:val="80"/>
  </w:num>
  <w:num w:numId="124">
    <w:abstractNumId w:val="89"/>
  </w:num>
  <w:num w:numId="125">
    <w:abstractNumId w:val="28"/>
  </w:num>
  <w:num w:numId="126">
    <w:abstractNumId w:val="35"/>
  </w:num>
  <w:num w:numId="127">
    <w:abstractNumId w:val="93"/>
  </w:num>
  <w:num w:numId="128">
    <w:abstractNumId w:val="38"/>
  </w:num>
  <w:num w:numId="129">
    <w:abstractNumId w:val="136"/>
  </w:num>
  <w:num w:numId="130">
    <w:abstractNumId w:val="100"/>
  </w:num>
  <w:num w:numId="131">
    <w:abstractNumId w:val="123"/>
  </w:num>
  <w:num w:numId="132">
    <w:abstractNumId w:val="73"/>
  </w:num>
  <w:num w:numId="133">
    <w:abstractNumId w:val="16"/>
  </w:num>
  <w:num w:numId="134">
    <w:abstractNumId w:val="116"/>
  </w:num>
  <w:num w:numId="135">
    <w:abstractNumId w:val="64"/>
  </w:num>
  <w:num w:numId="136">
    <w:abstractNumId w:val="47"/>
  </w:num>
  <w:num w:numId="137">
    <w:abstractNumId w:val="122"/>
  </w:num>
  <w:num w:numId="138">
    <w:abstractNumId w:val="25"/>
  </w:num>
  <w:num w:numId="139">
    <w:abstractNumId w:val="61"/>
  </w:num>
  <w:num w:numId="140">
    <w:abstractNumId w:val="58"/>
  </w:num>
  <w:num w:numId="141">
    <w:abstractNumId w:val="41"/>
  </w:num>
  <w:num w:numId="142">
    <w:abstractNumId w:val="31"/>
  </w:num>
  <w:num w:numId="143">
    <w:abstractNumId w:val="65"/>
  </w:num>
  <w:num w:numId="144">
    <w:abstractNumId w:val="12"/>
  </w:num>
  <w:num w:numId="145">
    <w:abstractNumId w:val="53"/>
  </w:num>
  <w:num w:numId="146">
    <w:abstractNumId w:val="66"/>
  </w:num>
  <w:num w:numId="147">
    <w:abstractNumId w:val="78"/>
  </w:num>
  <w:num w:numId="148">
    <w:abstractNumId w:val="33"/>
  </w:num>
  <w:num w:numId="149">
    <w:abstractNumId w:val="143"/>
    <w:lvlOverride w:ilvl="0">
      <w:startOverride w:val="1"/>
    </w:lvlOverride>
  </w:num>
  <w:num w:numId="150">
    <w:abstractNumId w:val="69"/>
  </w:num>
  <w:num w:numId="151">
    <w:abstractNumId w:val="39"/>
  </w:num>
  <w:num w:numId="152">
    <w:abstractNumId w:val="83"/>
  </w:num>
  <w:num w:numId="153">
    <w:abstractNumId w:val="68"/>
  </w:num>
  <w:num w:numId="154">
    <w:abstractNumId w:val="84"/>
  </w:num>
  <w:numIdMacAtCleanup w:val="15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ago">
    <w15:presenceInfo w15:providerId="None" w15:userId="Tiag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GB" w:vendorID="64" w:dllVersion="131078" w:nlCheck="1" w:checkStyle="0"/>
  <w:activeWritingStyle w:appName="MSWord" w:lang="en-U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n-IE" w:vendorID="64" w:dllVersion="131078" w:nlCheck="1" w:checkStyle="1"/>
  <w:activeWritingStyle w:appName="MSWord" w:lang="fr-BE" w:vendorID="64" w:dllVersion="131078" w:nlCheck="1" w:checkStyle="1"/>
  <w:proofState w:spelling="clean" w:grammar="clean"/>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ocStatus" w:val="Red"/>
    <w:docVar w:name="LW_ACCOMPAGNANT.CP" w:val="to the "/>
    <w:docVar w:name="LW_ANNEX_NBR_FIRST" w:val="1"/>
    <w:docVar w:name="LW_ANNEX_NBR_LAST" w:val="5"/>
    <w:docVar w:name="LW_CONFIDENCE" w:val=" "/>
    <w:docVar w:name="LW_CONST_RESTREINT_UE" w:val="RESTREINT UE/EU RESTRICTED"/>
    <w:docVar w:name="LW_CORRIGENDUM" w:val="&lt;UNUSED&gt;"/>
    <w:docVar w:name="LW_COVERPAGE_GUID" w:val="0B9B353DC45648069E044CFE2E7E6E30"/>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38"/>
    <w:docVar w:name="LW_LANGUE" w:val="EN"/>
    <w:docVar w:name="LW_MARKING" w:val="&lt;UNUSED&gt;"/>
    <w:docVar w:name="LW_NOM.INST" w:val="EUROPEAN COMMISSION"/>
    <w:docVar w:name="LW_NOM.INST_JOINTDOC" w:val="&lt;EMPTY&gt;"/>
    <w:docVar w:name="LW_OBJETACTEPRINCIPAL.CP" w:val="amending and correcting Commission Implementing Regulation (EU) 2015/2450  laying down implementing technical standards with regard to the templates for the submission of information to the supervisory authorities according to Directive 2009/138/EC of the European Parliament and of the Council"/>
    <w:docVar w:name="LW_PART_NBR" w:val="&lt;UNUSED&gt;"/>
    <w:docVar w:name="LW_PART_NBR_TOTAL" w:val="&lt;UNUSED&gt;"/>
    <w:docVar w:name="LW_REF.INST.NEW" w:val="&lt;EMPTY&gt;"/>
    <w:docVar w:name="LW_REF.INST.NEW_ADOPTED" w:val="draft"/>
    <w:docVar w:name="LW_REF.INST.NEW_TEXT" w:val="(2016) XXX"/>
    <w:docVar w:name="LW_REF.INTERNE" w:val="&lt;UNUSED&gt;"/>
    <w:docVar w:name="LW_SUPERTITRE" w:val="&lt;UNUSED&gt;"/>
    <w:docVar w:name="LW_TITRE.OBJ.CP" w:val="&lt;UNUSED&gt;"/>
    <w:docVar w:name="LW_TYPE.DOC.CP" w:val="ANNEXES_x000b_"/>
    <w:docVar w:name="LW_TYPEACTEPRINCIPAL.CP" w:val="Commission Implementing Regulation (EU) .../..."/>
  </w:docVars>
  <w:rsids>
    <w:rsidRoot w:val="00177D4F"/>
    <w:rsid w:val="00000075"/>
    <w:rsid w:val="0000396C"/>
    <w:rsid w:val="00005083"/>
    <w:rsid w:val="00005C5F"/>
    <w:rsid w:val="00006515"/>
    <w:rsid w:val="00007D38"/>
    <w:rsid w:val="00010858"/>
    <w:rsid w:val="0001190E"/>
    <w:rsid w:val="00012FCA"/>
    <w:rsid w:val="000131C7"/>
    <w:rsid w:val="0001351A"/>
    <w:rsid w:val="00016959"/>
    <w:rsid w:val="0002039E"/>
    <w:rsid w:val="00020A5D"/>
    <w:rsid w:val="000276A0"/>
    <w:rsid w:val="00031E54"/>
    <w:rsid w:val="00031FED"/>
    <w:rsid w:val="000320E4"/>
    <w:rsid w:val="000367F1"/>
    <w:rsid w:val="00036EA0"/>
    <w:rsid w:val="0003721F"/>
    <w:rsid w:val="0003733C"/>
    <w:rsid w:val="00037683"/>
    <w:rsid w:val="00037C6F"/>
    <w:rsid w:val="00037FF8"/>
    <w:rsid w:val="00042A3F"/>
    <w:rsid w:val="00042DCA"/>
    <w:rsid w:val="00043B59"/>
    <w:rsid w:val="0004656B"/>
    <w:rsid w:val="00052DB7"/>
    <w:rsid w:val="000536E4"/>
    <w:rsid w:val="00053D07"/>
    <w:rsid w:val="00056201"/>
    <w:rsid w:val="00056A6A"/>
    <w:rsid w:val="00057360"/>
    <w:rsid w:val="00062BFC"/>
    <w:rsid w:val="00062DF1"/>
    <w:rsid w:val="00063046"/>
    <w:rsid w:val="00063830"/>
    <w:rsid w:val="0006512D"/>
    <w:rsid w:val="000669B6"/>
    <w:rsid w:val="0006791B"/>
    <w:rsid w:val="000720E5"/>
    <w:rsid w:val="00072C2E"/>
    <w:rsid w:val="000749EC"/>
    <w:rsid w:val="00075604"/>
    <w:rsid w:val="000772CF"/>
    <w:rsid w:val="00081D3E"/>
    <w:rsid w:val="000824AA"/>
    <w:rsid w:val="000833DF"/>
    <w:rsid w:val="000902FB"/>
    <w:rsid w:val="00090B64"/>
    <w:rsid w:val="00092E9B"/>
    <w:rsid w:val="000A0626"/>
    <w:rsid w:val="000A1690"/>
    <w:rsid w:val="000A274E"/>
    <w:rsid w:val="000A2BF4"/>
    <w:rsid w:val="000A2C66"/>
    <w:rsid w:val="000A384F"/>
    <w:rsid w:val="000A448A"/>
    <w:rsid w:val="000A4DE6"/>
    <w:rsid w:val="000A4E30"/>
    <w:rsid w:val="000A6BC6"/>
    <w:rsid w:val="000B1EAC"/>
    <w:rsid w:val="000B25C9"/>
    <w:rsid w:val="000B2FCC"/>
    <w:rsid w:val="000B46DD"/>
    <w:rsid w:val="000B53C4"/>
    <w:rsid w:val="000C02BD"/>
    <w:rsid w:val="000C18FA"/>
    <w:rsid w:val="000C49A8"/>
    <w:rsid w:val="000C5384"/>
    <w:rsid w:val="000C5387"/>
    <w:rsid w:val="000C5541"/>
    <w:rsid w:val="000C567A"/>
    <w:rsid w:val="000C5BEF"/>
    <w:rsid w:val="000D2D43"/>
    <w:rsid w:val="000D3220"/>
    <w:rsid w:val="000D3CFF"/>
    <w:rsid w:val="000D3DC5"/>
    <w:rsid w:val="000D4101"/>
    <w:rsid w:val="000D605D"/>
    <w:rsid w:val="000E1E22"/>
    <w:rsid w:val="000E3EB2"/>
    <w:rsid w:val="000E6E14"/>
    <w:rsid w:val="000E70A8"/>
    <w:rsid w:val="000F0D18"/>
    <w:rsid w:val="000F1B1D"/>
    <w:rsid w:val="000F3115"/>
    <w:rsid w:val="000F33B0"/>
    <w:rsid w:val="000F5FEF"/>
    <w:rsid w:val="0010206B"/>
    <w:rsid w:val="001026FE"/>
    <w:rsid w:val="00103826"/>
    <w:rsid w:val="00103839"/>
    <w:rsid w:val="00103C7E"/>
    <w:rsid w:val="00104511"/>
    <w:rsid w:val="00105C0C"/>
    <w:rsid w:val="001069BC"/>
    <w:rsid w:val="00106E0F"/>
    <w:rsid w:val="00111920"/>
    <w:rsid w:val="00111F45"/>
    <w:rsid w:val="001163E7"/>
    <w:rsid w:val="0012003B"/>
    <w:rsid w:val="00120B3B"/>
    <w:rsid w:val="00121994"/>
    <w:rsid w:val="00123FBE"/>
    <w:rsid w:val="00125C9D"/>
    <w:rsid w:val="00125CA5"/>
    <w:rsid w:val="001320FD"/>
    <w:rsid w:val="0013347C"/>
    <w:rsid w:val="00133C60"/>
    <w:rsid w:val="0013433A"/>
    <w:rsid w:val="001348E9"/>
    <w:rsid w:val="0013559D"/>
    <w:rsid w:val="00137E3E"/>
    <w:rsid w:val="001434D5"/>
    <w:rsid w:val="00144032"/>
    <w:rsid w:val="0014562C"/>
    <w:rsid w:val="00156E08"/>
    <w:rsid w:val="00157CA5"/>
    <w:rsid w:val="00161F9B"/>
    <w:rsid w:val="00163083"/>
    <w:rsid w:val="001638B3"/>
    <w:rsid w:val="00164B0D"/>
    <w:rsid w:val="00165CE8"/>
    <w:rsid w:val="00167DF5"/>
    <w:rsid w:val="001702B8"/>
    <w:rsid w:val="00172416"/>
    <w:rsid w:val="00172B1C"/>
    <w:rsid w:val="00172FE2"/>
    <w:rsid w:val="0017365A"/>
    <w:rsid w:val="00173DE0"/>
    <w:rsid w:val="00174CF8"/>
    <w:rsid w:val="00175D3E"/>
    <w:rsid w:val="00176B7A"/>
    <w:rsid w:val="00177BA0"/>
    <w:rsid w:val="00177D4F"/>
    <w:rsid w:val="001819BF"/>
    <w:rsid w:val="00182971"/>
    <w:rsid w:val="00183169"/>
    <w:rsid w:val="00184026"/>
    <w:rsid w:val="00184144"/>
    <w:rsid w:val="00184171"/>
    <w:rsid w:val="001841EA"/>
    <w:rsid w:val="00184D26"/>
    <w:rsid w:val="0018539F"/>
    <w:rsid w:val="0018646D"/>
    <w:rsid w:val="00187B65"/>
    <w:rsid w:val="00187B98"/>
    <w:rsid w:val="00190756"/>
    <w:rsid w:val="00191581"/>
    <w:rsid w:val="001924A6"/>
    <w:rsid w:val="00193D8A"/>
    <w:rsid w:val="001947F9"/>
    <w:rsid w:val="00194969"/>
    <w:rsid w:val="0019525A"/>
    <w:rsid w:val="00196173"/>
    <w:rsid w:val="001969AC"/>
    <w:rsid w:val="001A163B"/>
    <w:rsid w:val="001A3AC8"/>
    <w:rsid w:val="001A3B57"/>
    <w:rsid w:val="001A4529"/>
    <w:rsid w:val="001A5FFA"/>
    <w:rsid w:val="001A6F78"/>
    <w:rsid w:val="001A7FAE"/>
    <w:rsid w:val="001B4FA7"/>
    <w:rsid w:val="001B5198"/>
    <w:rsid w:val="001B74CF"/>
    <w:rsid w:val="001B7E31"/>
    <w:rsid w:val="001C1203"/>
    <w:rsid w:val="001C1CEE"/>
    <w:rsid w:val="001C1DBD"/>
    <w:rsid w:val="001C6184"/>
    <w:rsid w:val="001C7A05"/>
    <w:rsid w:val="001D1382"/>
    <w:rsid w:val="001D13F3"/>
    <w:rsid w:val="001D1E57"/>
    <w:rsid w:val="001D1FFE"/>
    <w:rsid w:val="001D5209"/>
    <w:rsid w:val="001D7625"/>
    <w:rsid w:val="001E099C"/>
    <w:rsid w:val="001E1EA9"/>
    <w:rsid w:val="001E2124"/>
    <w:rsid w:val="001E26EB"/>
    <w:rsid w:val="001E50E6"/>
    <w:rsid w:val="001E7E16"/>
    <w:rsid w:val="001F0405"/>
    <w:rsid w:val="001F0A19"/>
    <w:rsid w:val="001F1832"/>
    <w:rsid w:val="001F1C30"/>
    <w:rsid w:val="001F1EEC"/>
    <w:rsid w:val="001F277B"/>
    <w:rsid w:val="001F2BD0"/>
    <w:rsid w:val="001F33C1"/>
    <w:rsid w:val="001F39F2"/>
    <w:rsid w:val="001F7039"/>
    <w:rsid w:val="001F7102"/>
    <w:rsid w:val="00201679"/>
    <w:rsid w:val="00201A64"/>
    <w:rsid w:val="00201CFE"/>
    <w:rsid w:val="002030C1"/>
    <w:rsid w:val="00203C5A"/>
    <w:rsid w:val="00206DE0"/>
    <w:rsid w:val="0021071F"/>
    <w:rsid w:val="00212644"/>
    <w:rsid w:val="002133D0"/>
    <w:rsid w:val="0021625D"/>
    <w:rsid w:val="00216DB3"/>
    <w:rsid w:val="00216EFE"/>
    <w:rsid w:val="00220255"/>
    <w:rsid w:val="00222C68"/>
    <w:rsid w:val="00222CCD"/>
    <w:rsid w:val="0022365E"/>
    <w:rsid w:val="00226131"/>
    <w:rsid w:val="00227178"/>
    <w:rsid w:val="00230E3A"/>
    <w:rsid w:val="00235663"/>
    <w:rsid w:val="0023700B"/>
    <w:rsid w:val="00237C10"/>
    <w:rsid w:val="0024194F"/>
    <w:rsid w:val="00242191"/>
    <w:rsid w:val="00242834"/>
    <w:rsid w:val="00243FBE"/>
    <w:rsid w:val="002458A5"/>
    <w:rsid w:val="00245F0A"/>
    <w:rsid w:val="00246DD2"/>
    <w:rsid w:val="00246EED"/>
    <w:rsid w:val="00250074"/>
    <w:rsid w:val="00250271"/>
    <w:rsid w:val="002505AA"/>
    <w:rsid w:val="00250BCF"/>
    <w:rsid w:val="00251C8A"/>
    <w:rsid w:val="00252E73"/>
    <w:rsid w:val="0025308C"/>
    <w:rsid w:val="00255AAA"/>
    <w:rsid w:val="002567DB"/>
    <w:rsid w:val="00256BCA"/>
    <w:rsid w:val="00260FE7"/>
    <w:rsid w:val="00262518"/>
    <w:rsid w:val="00262E52"/>
    <w:rsid w:val="00262FE2"/>
    <w:rsid w:val="002649F1"/>
    <w:rsid w:val="00264D7F"/>
    <w:rsid w:val="002659D7"/>
    <w:rsid w:val="00265B62"/>
    <w:rsid w:val="002663D7"/>
    <w:rsid w:val="0026693C"/>
    <w:rsid w:val="00266D07"/>
    <w:rsid w:val="00266ED1"/>
    <w:rsid w:val="002778E0"/>
    <w:rsid w:val="00277988"/>
    <w:rsid w:val="00281760"/>
    <w:rsid w:val="0028315B"/>
    <w:rsid w:val="00283955"/>
    <w:rsid w:val="002849FA"/>
    <w:rsid w:val="00285477"/>
    <w:rsid w:val="00285B0D"/>
    <w:rsid w:val="00287014"/>
    <w:rsid w:val="0029133B"/>
    <w:rsid w:val="00291CEA"/>
    <w:rsid w:val="00292038"/>
    <w:rsid w:val="00292E94"/>
    <w:rsid w:val="002941D3"/>
    <w:rsid w:val="002946BA"/>
    <w:rsid w:val="00294CFF"/>
    <w:rsid w:val="002952B1"/>
    <w:rsid w:val="002A0458"/>
    <w:rsid w:val="002A62C0"/>
    <w:rsid w:val="002A68CB"/>
    <w:rsid w:val="002B1AD2"/>
    <w:rsid w:val="002B1DBD"/>
    <w:rsid w:val="002B1E33"/>
    <w:rsid w:val="002B3FBE"/>
    <w:rsid w:val="002B4A43"/>
    <w:rsid w:val="002B4EBE"/>
    <w:rsid w:val="002B6C8B"/>
    <w:rsid w:val="002B71FD"/>
    <w:rsid w:val="002B7504"/>
    <w:rsid w:val="002B7575"/>
    <w:rsid w:val="002C26B1"/>
    <w:rsid w:val="002C3679"/>
    <w:rsid w:val="002C3A4E"/>
    <w:rsid w:val="002C4A9C"/>
    <w:rsid w:val="002C6724"/>
    <w:rsid w:val="002D0FA3"/>
    <w:rsid w:val="002D1626"/>
    <w:rsid w:val="002D1B65"/>
    <w:rsid w:val="002D1EDD"/>
    <w:rsid w:val="002D2AD4"/>
    <w:rsid w:val="002D4A56"/>
    <w:rsid w:val="002D51FF"/>
    <w:rsid w:val="002D5ED7"/>
    <w:rsid w:val="002E14FE"/>
    <w:rsid w:val="002E2E2F"/>
    <w:rsid w:val="002E35A3"/>
    <w:rsid w:val="002E4810"/>
    <w:rsid w:val="002E6E19"/>
    <w:rsid w:val="002E6E74"/>
    <w:rsid w:val="002F196A"/>
    <w:rsid w:val="002F1DE2"/>
    <w:rsid w:val="002F200E"/>
    <w:rsid w:val="002F336F"/>
    <w:rsid w:val="002F3548"/>
    <w:rsid w:val="002F48DE"/>
    <w:rsid w:val="002F62F2"/>
    <w:rsid w:val="002F6A5B"/>
    <w:rsid w:val="00302A3A"/>
    <w:rsid w:val="00303912"/>
    <w:rsid w:val="00304CAD"/>
    <w:rsid w:val="0031017D"/>
    <w:rsid w:val="00311425"/>
    <w:rsid w:val="003139AD"/>
    <w:rsid w:val="00314893"/>
    <w:rsid w:val="0031524D"/>
    <w:rsid w:val="003154F9"/>
    <w:rsid w:val="003173FC"/>
    <w:rsid w:val="003176E1"/>
    <w:rsid w:val="00317CDB"/>
    <w:rsid w:val="00320139"/>
    <w:rsid w:val="003209FC"/>
    <w:rsid w:val="00320B91"/>
    <w:rsid w:val="00321282"/>
    <w:rsid w:val="003214B5"/>
    <w:rsid w:val="003234F2"/>
    <w:rsid w:val="00326143"/>
    <w:rsid w:val="003263EB"/>
    <w:rsid w:val="00330067"/>
    <w:rsid w:val="00331823"/>
    <w:rsid w:val="00333900"/>
    <w:rsid w:val="00337269"/>
    <w:rsid w:val="00341401"/>
    <w:rsid w:val="00342976"/>
    <w:rsid w:val="00342D03"/>
    <w:rsid w:val="00344798"/>
    <w:rsid w:val="00344B61"/>
    <w:rsid w:val="00344EDC"/>
    <w:rsid w:val="00345081"/>
    <w:rsid w:val="00346DE2"/>
    <w:rsid w:val="003470C8"/>
    <w:rsid w:val="0034782C"/>
    <w:rsid w:val="003505A6"/>
    <w:rsid w:val="00350AAB"/>
    <w:rsid w:val="00352089"/>
    <w:rsid w:val="003525D8"/>
    <w:rsid w:val="00353E47"/>
    <w:rsid w:val="003607DA"/>
    <w:rsid w:val="003607FA"/>
    <w:rsid w:val="003612DF"/>
    <w:rsid w:val="003617B6"/>
    <w:rsid w:val="00361B7D"/>
    <w:rsid w:val="00361EA9"/>
    <w:rsid w:val="00362287"/>
    <w:rsid w:val="00362776"/>
    <w:rsid w:val="00362C90"/>
    <w:rsid w:val="003632EB"/>
    <w:rsid w:val="003636A2"/>
    <w:rsid w:val="00371C56"/>
    <w:rsid w:val="00372E52"/>
    <w:rsid w:val="003735C8"/>
    <w:rsid w:val="00373F52"/>
    <w:rsid w:val="00375B46"/>
    <w:rsid w:val="003773F4"/>
    <w:rsid w:val="00377B34"/>
    <w:rsid w:val="003840F0"/>
    <w:rsid w:val="00384190"/>
    <w:rsid w:val="00384321"/>
    <w:rsid w:val="0038567A"/>
    <w:rsid w:val="00386D2F"/>
    <w:rsid w:val="00390256"/>
    <w:rsid w:val="00391BC6"/>
    <w:rsid w:val="00392873"/>
    <w:rsid w:val="00396EED"/>
    <w:rsid w:val="003A0927"/>
    <w:rsid w:val="003A47C4"/>
    <w:rsid w:val="003A6D6C"/>
    <w:rsid w:val="003B05DB"/>
    <w:rsid w:val="003B2A01"/>
    <w:rsid w:val="003B2C91"/>
    <w:rsid w:val="003B2CC8"/>
    <w:rsid w:val="003B320E"/>
    <w:rsid w:val="003B33BA"/>
    <w:rsid w:val="003B5D1B"/>
    <w:rsid w:val="003B62B2"/>
    <w:rsid w:val="003C0B90"/>
    <w:rsid w:val="003C2D30"/>
    <w:rsid w:val="003C2F2B"/>
    <w:rsid w:val="003C4AEC"/>
    <w:rsid w:val="003C5393"/>
    <w:rsid w:val="003C5969"/>
    <w:rsid w:val="003C6A97"/>
    <w:rsid w:val="003C762C"/>
    <w:rsid w:val="003C786C"/>
    <w:rsid w:val="003D0470"/>
    <w:rsid w:val="003D0518"/>
    <w:rsid w:val="003D0DCC"/>
    <w:rsid w:val="003D2514"/>
    <w:rsid w:val="003D4502"/>
    <w:rsid w:val="003D4A49"/>
    <w:rsid w:val="003D4E1F"/>
    <w:rsid w:val="003D59AB"/>
    <w:rsid w:val="003D75AD"/>
    <w:rsid w:val="003E0D3A"/>
    <w:rsid w:val="003E0E26"/>
    <w:rsid w:val="003E0F06"/>
    <w:rsid w:val="003E1F2E"/>
    <w:rsid w:val="003E2473"/>
    <w:rsid w:val="003E2A97"/>
    <w:rsid w:val="003E3DAD"/>
    <w:rsid w:val="003E41E8"/>
    <w:rsid w:val="003E5FA1"/>
    <w:rsid w:val="003F1739"/>
    <w:rsid w:val="003F2207"/>
    <w:rsid w:val="003F2CF3"/>
    <w:rsid w:val="003F2EBD"/>
    <w:rsid w:val="003F391E"/>
    <w:rsid w:val="003F3D54"/>
    <w:rsid w:val="003F4902"/>
    <w:rsid w:val="003F6249"/>
    <w:rsid w:val="003F64A6"/>
    <w:rsid w:val="003F6879"/>
    <w:rsid w:val="003F68D7"/>
    <w:rsid w:val="003F7441"/>
    <w:rsid w:val="003F771E"/>
    <w:rsid w:val="0040053B"/>
    <w:rsid w:val="00400D7C"/>
    <w:rsid w:val="00402477"/>
    <w:rsid w:val="00402A40"/>
    <w:rsid w:val="00402B27"/>
    <w:rsid w:val="004053A0"/>
    <w:rsid w:val="0041156A"/>
    <w:rsid w:val="004127B9"/>
    <w:rsid w:val="00412DC6"/>
    <w:rsid w:val="00412EB7"/>
    <w:rsid w:val="004137C6"/>
    <w:rsid w:val="00414BC1"/>
    <w:rsid w:val="00414C4C"/>
    <w:rsid w:val="00415398"/>
    <w:rsid w:val="004158D4"/>
    <w:rsid w:val="00415A64"/>
    <w:rsid w:val="00415E55"/>
    <w:rsid w:val="00416147"/>
    <w:rsid w:val="00417D79"/>
    <w:rsid w:val="004211DB"/>
    <w:rsid w:val="0042341F"/>
    <w:rsid w:val="00423EEE"/>
    <w:rsid w:val="00424D2C"/>
    <w:rsid w:val="00425FDB"/>
    <w:rsid w:val="004265C6"/>
    <w:rsid w:val="004267F2"/>
    <w:rsid w:val="00432508"/>
    <w:rsid w:val="004369B8"/>
    <w:rsid w:val="00441C0D"/>
    <w:rsid w:val="00441DAD"/>
    <w:rsid w:val="004429A6"/>
    <w:rsid w:val="00444B86"/>
    <w:rsid w:val="00444F1F"/>
    <w:rsid w:val="00445159"/>
    <w:rsid w:val="0044552A"/>
    <w:rsid w:val="0044710B"/>
    <w:rsid w:val="00451463"/>
    <w:rsid w:val="00452194"/>
    <w:rsid w:val="00457F1F"/>
    <w:rsid w:val="004623FC"/>
    <w:rsid w:val="00463B7B"/>
    <w:rsid w:val="0046430D"/>
    <w:rsid w:val="0046473D"/>
    <w:rsid w:val="00466762"/>
    <w:rsid w:val="00470E37"/>
    <w:rsid w:val="00474082"/>
    <w:rsid w:val="004769D4"/>
    <w:rsid w:val="00476FD5"/>
    <w:rsid w:val="00477AD4"/>
    <w:rsid w:val="00484193"/>
    <w:rsid w:val="00484961"/>
    <w:rsid w:val="00484EFB"/>
    <w:rsid w:val="00485735"/>
    <w:rsid w:val="00487D1D"/>
    <w:rsid w:val="00490100"/>
    <w:rsid w:val="004906B3"/>
    <w:rsid w:val="004920D7"/>
    <w:rsid w:val="00492569"/>
    <w:rsid w:val="004928CE"/>
    <w:rsid w:val="00493B32"/>
    <w:rsid w:val="00495362"/>
    <w:rsid w:val="00495D6E"/>
    <w:rsid w:val="004A6298"/>
    <w:rsid w:val="004A651E"/>
    <w:rsid w:val="004A693B"/>
    <w:rsid w:val="004A7546"/>
    <w:rsid w:val="004B27BA"/>
    <w:rsid w:val="004B3065"/>
    <w:rsid w:val="004B36C0"/>
    <w:rsid w:val="004B4F3F"/>
    <w:rsid w:val="004B5C7A"/>
    <w:rsid w:val="004B6536"/>
    <w:rsid w:val="004B728D"/>
    <w:rsid w:val="004B72A2"/>
    <w:rsid w:val="004C036B"/>
    <w:rsid w:val="004C07F7"/>
    <w:rsid w:val="004C1E29"/>
    <w:rsid w:val="004C2984"/>
    <w:rsid w:val="004C2A8F"/>
    <w:rsid w:val="004C3A2C"/>
    <w:rsid w:val="004C4DEC"/>
    <w:rsid w:val="004C6F19"/>
    <w:rsid w:val="004D02A4"/>
    <w:rsid w:val="004D08C8"/>
    <w:rsid w:val="004D1832"/>
    <w:rsid w:val="004D39A2"/>
    <w:rsid w:val="004D443C"/>
    <w:rsid w:val="004D5274"/>
    <w:rsid w:val="004E19F8"/>
    <w:rsid w:val="004E21A9"/>
    <w:rsid w:val="004E4978"/>
    <w:rsid w:val="004E4FB3"/>
    <w:rsid w:val="004E64DC"/>
    <w:rsid w:val="004E7B65"/>
    <w:rsid w:val="004F1ACF"/>
    <w:rsid w:val="004F46EC"/>
    <w:rsid w:val="004F510B"/>
    <w:rsid w:val="004F7C13"/>
    <w:rsid w:val="004F7E4A"/>
    <w:rsid w:val="005005D5"/>
    <w:rsid w:val="00501BDA"/>
    <w:rsid w:val="0050213F"/>
    <w:rsid w:val="00503BEA"/>
    <w:rsid w:val="005048F6"/>
    <w:rsid w:val="00504BEB"/>
    <w:rsid w:val="00507296"/>
    <w:rsid w:val="00511277"/>
    <w:rsid w:val="00517799"/>
    <w:rsid w:val="00520CE9"/>
    <w:rsid w:val="005211F4"/>
    <w:rsid w:val="0052207C"/>
    <w:rsid w:val="005224BF"/>
    <w:rsid w:val="00522C17"/>
    <w:rsid w:val="00530AE0"/>
    <w:rsid w:val="00530FB9"/>
    <w:rsid w:val="00531FC0"/>
    <w:rsid w:val="00534377"/>
    <w:rsid w:val="005352FC"/>
    <w:rsid w:val="00535737"/>
    <w:rsid w:val="00535D42"/>
    <w:rsid w:val="005361C3"/>
    <w:rsid w:val="0053647F"/>
    <w:rsid w:val="00536CCA"/>
    <w:rsid w:val="0053733C"/>
    <w:rsid w:val="00540C11"/>
    <w:rsid w:val="00542019"/>
    <w:rsid w:val="00542433"/>
    <w:rsid w:val="00544837"/>
    <w:rsid w:val="00546C37"/>
    <w:rsid w:val="00551CAB"/>
    <w:rsid w:val="005522E6"/>
    <w:rsid w:val="00553C76"/>
    <w:rsid w:val="0055421F"/>
    <w:rsid w:val="005544E9"/>
    <w:rsid w:val="00560049"/>
    <w:rsid w:val="005607E7"/>
    <w:rsid w:val="00560B67"/>
    <w:rsid w:val="00564394"/>
    <w:rsid w:val="00565114"/>
    <w:rsid w:val="00566245"/>
    <w:rsid w:val="00567426"/>
    <w:rsid w:val="00573BD8"/>
    <w:rsid w:val="00573FCD"/>
    <w:rsid w:val="00574FE8"/>
    <w:rsid w:val="00576F69"/>
    <w:rsid w:val="005770A4"/>
    <w:rsid w:val="00577513"/>
    <w:rsid w:val="00580730"/>
    <w:rsid w:val="00581437"/>
    <w:rsid w:val="005822EC"/>
    <w:rsid w:val="0058236D"/>
    <w:rsid w:val="0058291A"/>
    <w:rsid w:val="0058325D"/>
    <w:rsid w:val="00583D66"/>
    <w:rsid w:val="005859EA"/>
    <w:rsid w:val="00585B27"/>
    <w:rsid w:val="00585F7F"/>
    <w:rsid w:val="00591725"/>
    <w:rsid w:val="00592996"/>
    <w:rsid w:val="00592DCA"/>
    <w:rsid w:val="005942AC"/>
    <w:rsid w:val="00594725"/>
    <w:rsid w:val="005974B0"/>
    <w:rsid w:val="00597E29"/>
    <w:rsid w:val="005A376D"/>
    <w:rsid w:val="005A4A05"/>
    <w:rsid w:val="005A5432"/>
    <w:rsid w:val="005A77E3"/>
    <w:rsid w:val="005A7867"/>
    <w:rsid w:val="005A7F39"/>
    <w:rsid w:val="005B074F"/>
    <w:rsid w:val="005B0E1C"/>
    <w:rsid w:val="005B11F4"/>
    <w:rsid w:val="005B1B52"/>
    <w:rsid w:val="005B1C40"/>
    <w:rsid w:val="005B24A4"/>
    <w:rsid w:val="005B3C86"/>
    <w:rsid w:val="005B4324"/>
    <w:rsid w:val="005B7E9D"/>
    <w:rsid w:val="005C0E50"/>
    <w:rsid w:val="005C1E98"/>
    <w:rsid w:val="005C3F01"/>
    <w:rsid w:val="005C5871"/>
    <w:rsid w:val="005D2AFC"/>
    <w:rsid w:val="005D3363"/>
    <w:rsid w:val="005D4509"/>
    <w:rsid w:val="005D4950"/>
    <w:rsid w:val="005D6398"/>
    <w:rsid w:val="005D7CC4"/>
    <w:rsid w:val="005E11CF"/>
    <w:rsid w:val="005E22E1"/>
    <w:rsid w:val="005E2AD4"/>
    <w:rsid w:val="005E3037"/>
    <w:rsid w:val="005E3516"/>
    <w:rsid w:val="005E6BCE"/>
    <w:rsid w:val="005F025B"/>
    <w:rsid w:val="005F1A7D"/>
    <w:rsid w:val="005F4A63"/>
    <w:rsid w:val="005F6718"/>
    <w:rsid w:val="005F79A1"/>
    <w:rsid w:val="005F7B27"/>
    <w:rsid w:val="006016E5"/>
    <w:rsid w:val="00604B5C"/>
    <w:rsid w:val="00605050"/>
    <w:rsid w:val="00613EAC"/>
    <w:rsid w:val="00614973"/>
    <w:rsid w:val="00615930"/>
    <w:rsid w:val="00616BC0"/>
    <w:rsid w:val="00616F49"/>
    <w:rsid w:val="006216F3"/>
    <w:rsid w:val="00623FF9"/>
    <w:rsid w:val="00624DEE"/>
    <w:rsid w:val="00624FFF"/>
    <w:rsid w:val="0062584B"/>
    <w:rsid w:val="0062641F"/>
    <w:rsid w:val="00627025"/>
    <w:rsid w:val="00630BD4"/>
    <w:rsid w:val="006319DE"/>
    <w:rsid w:val="00631CFC"/>
    <w:rsid w:val="00632327"/>
    <w:rsid w:val="0063260C"/>
    <w:rsid w:val="0063388C"/>
    <w:rsid w:val="0064028A"/>
    <w:rsid w:val="00640A0A"/>
    <w:rsid w:val="0064469C"/>
    <w:rsid w:val="00644A50"/>
    <w:rsid w:val="00645210"/>
    <w:rsid w:val="006455B1"/>
    <w:rsid w:val="00646B82"/>
    <w:rsid w:val="0065037A"/>
    <w:rsid w:val="006523E7"/>
    <w:rsid w:val="006534DE"/>
    <w:rsid w:val="00654E7D"/>
    <w:rsid w:val="0066006C"/>
    <w:rsid w:val="006602C5"/>
    <w:rsid w:val="00660C6C"/>
    <w:rsid w:val="00661A4F"/>
    <w:rsid w:val="00661FBE"/>
    <w:rsid w:val="00664C1C"/>
    <w:rsid w:val="00665A57"/>
    <w:rsid w:val="00670FE8"/>
    <w:rsid w:val="00675242"/>
    <w:rsid w:val="00675A99"/>
    <w:rsid w:val="006762BA"/>
    <w:rsid w:val="0067734F"/>
    <w:rsid w:val="00682521"/>
    <w:rsid w:val="006832B9"/>
    <w:rsid w:val="006833BE"/>
    <w:rsid w:val="00683D0C"/>
    <w:rsid w:val="006855EC"/>
    <w:rsid w:val="006905E8"/>
    <w:rsid w:val="00691940"/>
    <w:rsid w:val="00691C64"/>
    <w:rsid w:val="006920FA"/>
    <w:rsid w:val="006932B8"/>
    <w:rsid w:val="00693BB2"/>
    <w:rsid w:val="00697A82"/>
    <w:rsid w:val="006A07ED"/>
    <w:rsid w:val="006A21D8"/>
    <w:rsid w:val="006A3816"/>
    <w:rsid w:val="006A3D5E"/>
    <w:rsid w:val="006A7B65"/>
    <w:rsid w:val="006B29E2"/>
    <w:rsid w:val="006B2DC1"/>
    <w:rsid w:val="006B381A"/>
    <w:rsid w:val="006B385A"/>
    <w:rsid w:val="006B59E3"/>
    <w:rsid w:val="006B5B66"/>
    <w:rsid w:val="006B5D69"/>
    <w:rsid w:val="006B62A7"/>
    <w:rsid w:val="006B71F9"/>
    <w:rsid w:val="006B7210"/>
    <w:rsid w:val="006C1A1F"/>
    <w:rsid w:val="006C408A"/>
    <w:rsid w:val="006C51E6"/>
    <w:rsid w:val="006C6454"/>
    <w:rsid w:val="006D3C76"/>
    <w:rsid w:val="006D691D"/>
    <w:rsid w:val="006D693E"/>
    <w:rsid w:val="006E082F"/>
    <w:rsid w:val="006E1405"/>
    <w:rsid w:val="006E32FF"/>
    <w:rsid w:val="006E468E"/>
    <w:rsid w:val="006E54EC"/>
    <w:rsid w:val="006E6453"/>
    <w:rsid w:val="006F1333"/>
    <w:rsid w:val="006F3328"/>
    <w:rsid w:val="006F600D"/>
    <w:rsid w:val="00702BAE"/>
    <w:rsid w:val="0070437A"/>
    <w:rsid w:val="00707DE7"/>
    <w:rsid w:val="00707FE9"/>
    <w:rsid w:val="00710233"/>
    <w:rsid w:val="00711398"/>
    <w:rsid w:val="00721038"/>
    <w:rsid w:val="00721566"/>
    <w:rsid w:val="00722E55"/>
    <w:rsid w:val="0073012C"/>
    <w:rsid w:val="00731DE0"/>
    <w:rsid w:val="007321ED"/>
    <w:rsid w:val="00733604"/>
    <w:rsid w:val="007337F9"/>
    <w:rsid w:val="007344C8"/>
    <w:rsid w:val="007347AC"/>
    <w:rsid w:val="00734A24"/>
    <w:rsid w:val="00735A25"/>
    <w:rsid w:val="007363D8"/>
    <w:rsid w:val="00737B17"/>
    <w:rsid w:val="0074078A"/>
    <w:rsid w:val="00741C6D"/>
    <w:rsid w:val="00743856"/>
    <w:rsid w:val="0074447E"/>
    <w:rsid w:val="00744ECE"/>
    <w:rsid w:val="00746477"/>
    <w:rsid w:val="0074746B"/>
    <w:rsid w:val="00752BDF"/>
    <w:rsid w:val="007553F1"/>
    <w:rsid w:val="00755DA4"/>
    <w:rsid w:val="0075671D"/>
    <w:rsid w:val="00761BB0"/>
    <w:rsid w:val="007627E8"/>
    <w:rsid w:val="00762800"/>
    <w:rsid w:val="00764A64"/>
    <w:rsid w:val="00765905"/>
    <w:rsid w:val="007665BB"/>
    <w:rsid w:val="0076703D"/>
    <w:rsid w:val="00770AB0"/>
    <w:rsid w:val="00771EA5"/>
    <w:rsid w:val="00772DCF"/>
    <w:rsid w:val="007743D3"/>
    <w:rsid w:val="007746AF"/>
    <w:rsid w:val="00775159"/>
    <w:rsid w:val="00776E5E"/>
    <w:rsid w:val="0077709A"/>
    <w:rsid w:val="00780A20"/>
    <w:rsid w:val="0078130C"/>
    <w:rsid w:val="00782960"/>
    <w:rsid w:val="007834D7"/>
    <w:rsid w:val="00784632"/>
    <w:rsid w:val="00784E51"/>
    <w:rsid w:val="0078554E"/>
    <w:rsid w:val="00785BCD"/>
    <w:rsid w:val="00785F22"/>
    <w:rsid w:val="00790CEB"/>
    <w:rsid w:val="007917D5"/>
    <w:rsid w:val="00791FBF"/>
    <w:rsid w:val="007941AB"/>
    <w:rsid w:val="0079467C"/>
    <w:rsid w:val="0079687F"/>
    <w:rsid w:val="00797CF2"/>
    <w:rsid w:val="007A163D"/>
    <w:rsid w:val="007A5531"/>
    <w:rsid w:val="007A5626"/>
    <w:rsid w:val="007A5E7A"/>
    <w:rsid w:val="007A6442"/>
    <w:rsid w:val="007A75B6"/>
    <w:rsid w:val="007B0408"/>
    <w:rsid w:val="007B2E07"/>
    <w:rsid w:val="007B30B0"/>
    <w:rsid w:val="007B4706"/>
    <w:rsid w:val="007B539A"/>
    <w:rsid w:val="007C25A3"/>
    <w:rsid w:val="007C4248"/>
    <w:rsid w:val="007C4280"/>
    <w:rsid w:val="007C6DE7"/>
    <w:rsid w:val="007C7E86"/>
    <w:rsid w:val="007D0443"/>
    <w:rsid w:val="007D0B74"/>
    <w:rsid w:val="007D365C"/>
    <w:rsid w:val="007D4910"/>
    <w:rsid w:val="007D54F5"/>
    <w:rsid w:val="007D5669"/>
    <w:rsid w:val="007D5C6A"/>
    <w:rsid w:val="007D78FA"/>
    <w:rsid w:val="007E1261"/>
    <w:rsid w:val="007E1555"/>
    <w:rsid w:val="007E4F3B"/>
    <w:rsid w:val="007E5360"/>
    <w:rsid w:val="007E5C2C"/>
    <w:rsid w:val="007E6482"/>
    <w:rsid w:val="007E6AB9"/>
    <w:rsid w:val="007F24E5"/>
    <w:rsid w:val="007F255C"/>
    <w:rsid w:val="007F25DF"/>
    <w:rsid w:val="007F5FE5"/>
    <w:rsid w:val="007F66AC"/>
    <w:rsid w:val="007F70E3"/>
    <w:rsid w:val="0080247D"/>
    <w:rsid w:val="00802B20"/>
    <w:rsid w:val="00802C03"/>
    <w:rsid w:val="00803F7C"/>
    <w:rsid w:val="008044A3"/>
    <w:rsid w:val="00805C7D"/>
    <w:rsid w:val="008109B4"/>
    <w:rsid w:val="00810D76"/>
    <w:rsid w:val="00811394"/>
    <w:rsid w:val="00814FD5"/>
    <w:rsid w:val="00815506"/>
    <w:rsid w:val="00816C29"/>
    <w:rsid w:val="00816FF9"/>
    <w:rsid w:val="00817B5C"/>
    <w:rsid w:val="00820A40"/>
    <w:rsid w:val="0082207E"/>
    <w:rsid w:val="00822210"/>
    <w:rsid w:val="00830AB9"/>
    <w:rsid w:val="008325C8"/>
    <w:rsid w:val="00834BAA"/>
    <w:rsid w:val="00834E7F"/>
    <w:rsid w:val="008353AA"/>
    <w:rsid w:val="00836665"/>
    <w:rsid w:val="008412FC"/>
    <w:rsid w:val="00841D66"/>
    <w:rsid w:val="0084229F"/>
    <w:rsid w:val="0084231D"/>
    <w:rsid w:val="008424E1"/>
    <w:rsid w:val="008434EC"/>
    <w:rsid w:val="00850AC3"/>
    <w:rsid w:val="00851774"/>
    <w:rsid w:val="00851C10"/>
    <w:rsid w:val="00853945"/>
    <w:rsid w:val="00854648"/>
    <w:rsid w:val="00855711"/>
    <w:rsid w:val="00862895"/>
    <w:rsid w:val="00863C56"/>
    <w:rsid w:val="008650AB"/>
    <w:rsid w:val="00866A10"/>
    <w:rsid w:val="00870270"/>
    <w:rsid w:val="0087158B"/>
    <w:rsid w:val="00871F6F"/>
    <w:rsid w:val="008730B9"/>
    <w:rsid w:val="0087394C"/>
    <w:rsid w:val="0087595E"/>
    <w:rsid w:val="008764B0"/>
    <w:rsid w:val="00876842"/>
    <w:rsid w:val="008806FB"/>
    <w:rsid w:val="00880F78"/>
    <w:rsid w:val="00881A3A"/>
    <w:rsid w:val="00883BD7"/>
    <w:rsid w:val="00884611"/>
    <w:rsid w:val="00884E5E"/>
    <w:rsid w:val="0088591E"/>
    <w:rsid w:val="00886029"/>
    <w:rsid w:val="00893300"/>
    <w:rsid w:val="008933E5"/>
    <w:rsid w:val="00894BC2"/>
    <w:rsid w:val="008957F5"/>
    <w:rsid w:val="00895AD9"/>
    <w:rsid w:val="00895D5D"/>
    <w:rsid w:val="00896B17"/>
    <w:rsid w:val="008A14D4"/>
    <w:rsid w:val="008A38E3"/>
    <w:rsid w:val="008A44F5"/>
    <w:rsid w:val="008A6476"/>
    <w:rsid w:val="008B432F"/>
    <w:rsid w:val="008B44B7"/>
    <w:rsid w:val="008C05B4"/>
    <w:rsid w:val="008C2267"/>
    <w:rsid w:val="008C22DA"/>
    <w:rsid w:val="008C255B"/>
    <w:rsid w:val="008C3B0D"/>
    <w:rsid w:val="008C3EBC"/>
    <w:rsid w:val="008C632F"/>
    <w:rsid w:val="008C73EF"/>
    <w:rsid w:val="008D017C"/>
    <w:rsid w:val="008D1CA6"/>
    <w:rsid w:val="008D252A"/>
    <w:rsid w:val="008D51AA"/>
    <w:rsid w:val="008D6E43"/>
    <w:rsid w:val="008E1041"/>
    <w:rsid w:val="008E1EF5"/>
    <w:rsid w:val="008E2278"/>
    <w:rsid w:val="008E25F0"/>
    <w:rsid w:val="008E7F9D"/>
    <w:rsid w:val="008F0438"/>
    <w:rsid w:val="008F230A"/>
    <w:rsid w:val="00900208"/>
    <w:rsid w:val="009028C9"/>
    <w:rsid w:val="00902BFB"/>
    <w:rsid w:val="009033BB"/>
    <w:rsid w:val="009034D4"/>
    <w:rsid w:val="009035FF"/>
    <w:rsid w:val="00906B10"/>
    <w:rsid w:val="00907791"/>
    <w:rsid w:val="00907D5E"/>
    <w:rsid w:val="009110E1"/>
    <w:rsid w:val="00912964"/>
    <w:rsid w:val="00915C98"/>
    <w:rsid w:val="00917455"/>
    <w:rsid w:val="009221F9"/>
    <w:rsid w:val="0092263D"/>
    <w:rsid w:val="009227D7"/>
    <w:rsid w:val="0092484B"/>
    <w:rsid w:val="009258EC"/>
    <w:rsid w:val="00930826"/>
    <w:rsid w:val="00933D31"/>
    <w:rsid w:val="00933EC7"/>
    <w:rsid w:val="00934E0E"/>
    <w:rsid w:val="009378AF"/>
    <w:rsid w:val="00937B7D"/>
    <w:rsid w:val="0094049D"/>
    <w:rsid w:val="009407E9"/>
    <w:rsid w:val="009423DB"/>
    <w:rsid w:val="00943442"/>
    <w:rsid w:val="00944CFE"/>
    <w:rsid w:val="00944D0C"/>
    <w:rsid w:val="00945BD4"/>
    <w:rsid w:val="00952862"/>
    <w:rsid w:val="00952A5B"/>
    <w:rsid w:val="00953548"/>
    <w:rsid w:val="0095651D"/>
    <w:rsid w:val="0095666C"/>
    <w:rsid w:val="0095707A"/>
    <w:rsid w:val="0095749B"/>
    <w:rsid w:val="00957872"/>
    <w:rsid w:val="00957D98"/>
    <w:rsid w:val="0096050D"/>
    <w:rsid w:val="009606C9"/>
    <w:rsid w:val="00961B60"/>
    <w:rsid w:val="00964314"/>
    <w:rsid w:val="00965293"/>
    <w:rsid w:val="00966745"/>
    <w:rsid w:val="009746F6"/>
    <w:rsid w:val="00975EC0"/>
    <w:rsid w:val="00976BEE"/>
    <w:rsid w:val="00977383"/>
    <w:rsid w:val="009804D5"/>
    <w:rsid w:val="009811D4"/>
    <w:rsid w:val="009816CB"/>
    <w:rsid w:val="009868DA"/>
    <w:rsid w:val="0098766B"/>
    <w:rsid w:val="0099031D"/>
    <w:rsid w:val="009929D0"/>
    <w:rsid w:val="00993980"/>
    <w:rsid w:val="00994800"/>
    <w:rsid w:val="00994828"/>
    <w:rsid w:val="00994965"/>
    <w:rsid w:val="00994DC1"/>
    <w:rsid w:val="00995256"/>
    <w:rsid w:val="00996EFE"/>
    <w:rsid w:val="0099720E"/>
    <w:rsid w:val="0099733D"/>
    <w:rsid w:val="009973E7"/>
    <w:rsid w:val="0099758C"/>
    <w:rsid w:val="00997893"/>
    <w:rsid w:val="009A0EBF"/>
    <w:rsid w:val="009A178C"/>
    <w:rsid w:val="009A32AF"/>
    <w:rsid w:val="009A4B2F"/>
    <w:rsid w:val="009A58B7"/>
    <w:rsid w:val="009A5F94"/>
    <w:rsid w:val="009A75F7"/>
    <w:rsid w:val="009A763E"/>
    <w:rsid w:val="009A7DBD"/>
    <w:rsid w:val="009B16FC"/>
    <w:rsid w:val="009B1862"/>
    <w:rsid w:val="009B1CF3"/>
    <w:rsid w:val="009B46A5"/>
    <w:rsid w:val="009B5834"/>
    <w:rsid w:val="009B72F9"/>
    <w:rsid w:val="009C1DAC"/>
    <w:rsid w:val="009C5616"/>
    <w:rsid w:val="009D0601"/>
    <w:rsid w:val="009D0B0C"/>
    <w:rsid w:val="009D1597"/>
    <w:rsid w:val="009D303D"/>
    <w:rsid w:val="009D3347"/>
    <w:rsid w:val="009D79F0"/>
    <w:rsid w:val="009E025E"/>
    <w:rsid w:val="009E184D"/>
    <w:rsid w:val="009E18A2"/>
    <w:rsid w:val="009E2381"/>
    <w:rsid w:val="009E25DF"/>
    <w:rsid w:val="009E2C58"/>
    <w:rsid w:val="009E3737"/>
    <w:rsid w:val="009E5661"/>
    <w:rsid w:val="009E5CC8"/>
    <w:rsid w:val="009E6866"/>
    <w:rsid w:val="009E7DAF"/>
    <w:rsid w:val="009F0804"/>
    <w:rsid w:val="009F16DE"/>
    <w:rsid w:val="009F24EA"/>
    <w:rsid w:val="009F3A8F"/>
    <w:rsid w:val="009F437C"/>
    <w:rsid w:val="009F66F8"/>
    <w:rsid w:val="00A000C6"/>
    <w:rsid w:val="00A00119"/>
    <w:rsid w:val="00A00686"/>
    <w:rsid w:val="00A00848"/>
    <w:rsid w:val="00A00FBD"/>
    <w:rsid w:val="00A02EB1"/>
    <w:rsid w:val="00A040B4"/>
    <w:rsid w:val="00A049A5"/>
    <w:rsid w:val="00A066D0"/>
    <w:rsid w:val="00A06AAB"/>
    <w:rsid w:val="00A06FFB"/>
    <w:rsid w:val="00A07B52"/>
    <w:rsid w:val="00A1067C"/>
    <w:rsid w:val="00A10C1F"/>
    <w:rsid w:val="00A12091"/>
    <w:rsid w:val="00A1510D"/>
    <w:rsid w:val="00A158C8"/>
    <w:rsid w:val="00A17742"/>
    <w:rsid w:val="00A213F6"/>
    <w:rsid w:val="00A22FD4"/>
    <w:rsid w:val="00A23FE9"/>
    <w:rsid w:val="00A269D0"/>
    <w:rsid w:val="00A3003B"/>
    <w:rsid w:val="00A30944"/>
    <w:rsid w:val="00A311B9"/>
    <w:rsid w:val="00A314C6"/>
    <w:rsid w:val="00A322EB"/>
    <w:rsid w:val="00A32505"/>
    <w:rsid w:val="00A32915"/>
    <w:rsid w:val="00A32CA7"/>
    <w:rsid w:val="00A3421F"/>
    <w:rsid w:val="00A36C28"/>
    <w:rsid w:val="00A36CBF"/>
    <w:rsid w:val="00A36F56"/>
    <w:rsid w:val="00A37A58"/>
    <w:rsid w:val="00A37C5A"/>
    <w:rsid w:val="00A41405"/>
    <w:rsid w:val="00A422BA"/>
    <w:rsid w:val="00A425AE"/>
    <w:rsid w:val="00A4323E"/>
    <w:rsid w:val="00A43C59"/>
    <w:rsid w:val="00A4450B"/>
    <w:rsid w:val="00A44B40"/>
    <w:rsid w:val="00A4513E"/>
    <w:rsid w:val="00A47BDD"/>
    <w:rsid w:val="00A50F08"/>
    <w:rsid w:val="00A51CF5"/>
    <w:rsid w:val="00A51F55"/>
    <w:rsid w:val="00A57090"/>
    <w:rsid w:val="00A57366"/>
    <w:rsid w:val="00A6049F"/>
    <w:rsid w:val="00A614C5"/>
    <w:rsid w:val="00A61AE5"/>
    <w:rsid w:val="00A6429F"/>
    <w:rsid w:val="00A66138"/>
    <w:rsid w:val="00A6662F"/>
    <w:rsid w:val="00A677B3"/>
    <w:rsid w:val="00A678E7"/>
    <w:rsid w:val="00A723AC"/>
    <w:rsid w:val="00A73548"/>
    <w:rsid w:val="00A75070"/>
    <w:rsid w:val="00A750F8"/>
    <w:rsid w:val="00A75155"/>
    <w:rsid w:val="00A81F51"/>
    <w:rsid w:val="00A8403F"/>
    <w:rsid w:val="00A86315"/>
    <w:rsid w:val="00A864AC"/>
    <w:rsid w:val="00A87291"/>
    <w:rsid w:val="00A956E8"/>
    <w:rsid w:val="00A96FF5"/>
    <w:rsid w:val="00A97E25"/>
    <w:rsid w:val="00AA01EA"/>
    <w:rsid w:val="00AA3222"/>
    <w:rsid w:val="00AA350F"/>
    <w:rsid w:val="00AA5B96"/>
    <w:rsid w:val="00AA72D8"/>
    <w:rsid w:val="00AA7B44"/>
    <w:rsid w:val="00AB0A0D"/>
    <w:rsid w:val="00AB0FD3"/>
    <w:rsid w:val="00AB42D7"/>
    <w:rsid w:val="00AB43F1"/>
    <w:rsid w:val="00AB45CF"/>
    <w:rsid w:val="00AB496D"/>
    <w:rsid w:val="00AB4ABB"/>
    <w:rsid w:val="00AB74B6"/>
    <w:rsid w:val="00AB7688"/>
    <w:rsid w:val="00AC0255"/>
    <w:rsid w:val="00AC3F0C"/>
    <w:rsid w:val="00AC45BF"/>
    <w:rsid w:val="00AC5D30"/>
    <w:rsid w:val="00AD0145"/>
    <w:rsid w:val="00AD0183"/>
    <w:rsid w:val="00AD0683"/>
    <w:rsid w:val="00AD0D1F"/>
    <w:rsid w:val="00AD18B5"/>
    <w:rsid w:val="00AD35E2"/>
    <w:rsid w:val="00AD4991"/>
    <w:rsid w:val="00AD7E52"/>
    <w:rsid w:val="00AE116C"/>
    <w:rsid w:val="00AE1CC5"/>
    <w:rsid w:val="00AE2F59"/>
    <w:rsid w:val="00AE2FF2"/>
    <w:rsid w:val="00AE4FD7"/>
    <w:rsid w:val="00AE5C07"/>
    <w:rsid w:val="00AE6AD8"/>
    <w:rsid w:val="00AE740D"/>
    <w:rsid w:val="00AE744B"/>
    <w:rsid w:val="00AE78E4"/>
    <w:rsid w:val="00AF317B"/>
    <w:rsid w:val="00AF3E7B"/>
    <w:rsid w:val="00AF649B"/>
    <w:rsid w:val="00AF7602"/>
    <w:rsid w:val="00B01374"/>
    <w:rsid w:val="00B04ADD"/>
    <w:rsid w:val="00B07096"/>
    <w:rsid w:val="00B07419"/>
    <w:rsid w:val="00B107F4"/>
    <w:rsid w:val="00B114B3"/>
    <w:rsid w:val="00B118CA"/>
    <w:rsid w:val="00B11B26"/>
    <w:rsid w:val="00B15CB5"/>
    <w:rsid w:val="00B15F4C"/>
    <w:rsid w:val="00B20DA3"/>
    <w:rsid w:val="00B21342"/>
    <w:rsid w:val="00B23AF6"/>
    <w:rsid w:val="00B24079"/>
    <w:rsid w:val="00B24200"/>
    <w:rsid w:val="00B267F0"/>
    <w:rsid w:val="00B306DF"/>
    <w:rsid w:val="00B32AC7"/>
    <w:rsid w:val="00B33753"/>
    <w:rsid w:val="00B33E60"/>
    <w:rsid w:val="00B37383"/>
    <w:rsid w:val="00B40966"/>
    <w:rsid w:val="00B40B7F"/>
    <w:rsid w:val="00B41C29"/>
    <w:rsid w:val="00B439C1"/>
    <w:rsid w:val="00B439C7"/>
    <w:rsid w:val="00B43E1F"/>
    <w:rsid w:val="00B4473A"/>
    <w:rsid w:val="00B46253"/>
    <w:rsid w:val="00B463E1"/>
    <w:rsid w:val="00B46996"/>
    <w:rsid w:val="00B476DA"/>
    <w:rsid w:val="00B56483"/>
    <w:rsid w:val="00B5683D"/>
    <w:rsid w:val="00B572CA"/>
    <w:rsid w:val="00B61036"/>
    <w:rsid w:val="00B632E4"/>
    <w:rsid w:val="00B65969"/>
    <w:rsid w:val="00B70E1B"/>
    <w:rsid w:val="00B71464"/>
    <w:rsid w:val="00B744EA"/>
    <w:rsid w:val="00B76361"/>
    <w:rsid w:val="00B812AA"/>
    <w:rsid w:val="00B82FBB"/>
    <w:rsid w:val="00B82FD5"/>
    <w:rsid w:val="00B858A8"/>
    <w:rsid w:val="00B85C04"/>
    <w:rsid w:val="00B86012"/>
    <w:rsid w:val="00B87684"/>
    <w:rsid w:val="00B8787D"/>
    <w:rsid w:val="00B90099"/>
    <w:rsid w:val="00B900D6"/>
    <w:rsid w:val="00B91A32"/>
    <w:rsid w:val="00B922FE"/>
    <w:rsid w:val="00B94DBC"/>
    <w:rsid w:val="00B952BB"/>
    <w:rsid w:val="00B9628C"/>
    <w:rsid w:val="00B96850"/>
    <w:rsid w:val="00B970AE"/>
    <w:rsid w:val="00BA0061"/>
    <w:rsid w:val="00BA146C"/>
    <w:rsid w:val="00BA1701"/>
    <w:rsid w:val="00BA4A91"/>
    <w:rsid w:val="00BA5816"/>
    <w:rsid w:val="00BA66B7"/>
    <w:rsid w:val="00BA69D8"/>
    <w:rsid w:val="00BA6DB4"/>
    <w:rsid w:val="00BA7F3A"/>
    <w:rsid w:val="00BB06D0"/>
    <w:rsid w:val="00BB12B6"/>
    <w:rsid w:val="00BB27DB"/>
    <w:rsid w:val="00BB4148"/>
    <w:rsid w:val="00BB4617"/>
    <w:rsid w:val="00BB5459"/>
    <w:rsid w:val="00BB5DE5"/>
    <w:rsid w:val="00BB7C43"/>
    <w:rsid w:val="00BB7E4B"/>
    <w:rsid w:val="00BC0A05"/>
    <w:rsid w:val="00BC16FF"/>
    <w:rsid w:val="00BC45E5"/>
    <w:rsid w:val="00BC5244"/>
    <w:rsid w:val="00BC5F08"/>
    <w:rsid w:val="00BC6EDC"/>
    <w:rsid w:val="00BD037E"/>
    <w:rsid w:val="00BD0778"/>
    <w:rsid w:val="00BD0D67"/>
    <w:rsid w:val="00BD3C4C"/>
    <w:rsid w:val="00BD4371"/>
    <w:rsid w:val="00BD441E"/>
    <w:rsid w:val="00BD607F"/>
    <w:rsid w:val="00BD6D37"/>
    <w:rsid w:val="00BE0F88"/>
    <w:rsid w:val="00BE247E"/>
    <w:rsid w:val="00BE46A9"/>
    <w:rsid w:val="00BE4F06"/>
    <w:rsid w:val="00BE62E0"/>
    <w:rsid w:val="00BE6709"/>
    <w:rsid w:val="00BF211A"/>
    <w:rsid w:val="00BF2CC5"/>
    <w:rsid w:val="00BF38EA"/>
    <w:rsid w:val="00BF3FE7"/>
    <w:rsid w:val="00BF4DA7"/>
    <w:rsid w:val="00C01B2D"/>
    <w:rsid w:val="00C036ED"/>
    <w:rsid w:val="00C0462F"/>
    <w:rsid w:val="00C061E8"/>
    <w:rsid w:val="00C06AA7"/>
    <w:rsid w:val="00C071B3"/>
    <w:rsid w:val="00C07222"/>
    <w:rsid w:val="00C07BE9"/>
    <w:rsid w:val="00C10815"/>
    <w:rsid w:val="00C108EB"/>
    <w:rsid w:val="00C113DB"/>
    <w:rsid w:val="00C128C4"/>
    <w:rsid w:val="00C14376"/>
    <w:rsid w:val="00C1497E"/>
    <w:rsid w:val="00C17D9D"/>
    <w:rsid w:val="00C209FE"/>
    <w:rsid w:val="00C2109C"/>
    <w:rsid w:val="00C21363"/>
    <w:rsid w:val="00C234FB"/>
    <w:rsid w:val="00C2513E"/>
    <w:rsid w:val="00C25381"/>
    <w:rsid w:val="00C26598"/>
    <w:rsid w:val="00C31EA1"/>
    <w:rsid w:val="00C32381"/>
    <w:rsid w:val="00C33D9C"/>
    <w:rsid w:val="00C37C91"/>
    <w:rsid w:val="00C37D9B"/>
    <w:rsid w:val="00C4091B"/>
    <w:rsid w:val="00C5289C"/>
    <w:rsid w:val="00C539AD"/>
    <w:rsid w:val="00C53F45"/>
    <w:rsid w:val="00C55966"/>
    <w:rsid w:val="00C57EFF"/>
    <w:rsid w:val="00C62A68"/>
    <w:rsid w:val="00C65864"/>
    <w:rsid w:val="00C67276"/>
    <w:rsid w:val="00C67EA7"/>
    <w:rsid w:val="00C70314"/>
    <w:rsid w:val="00C71135"/>
    <w:rsid w:val="00C7311B"/>
    <w:rsid w:val="00C73C0A"/>
    <w:rsid w:val="00C757A6"/>
    <w:rsid w:val="00C75A47"/>
    <w:rsid w:val="00C76639"/>
    <w:rsid w:val="00C804D2"/>
    <w:rsid w:val="00C8170A"/>
    <w:rsid w:val="00C81904"/>
    <w:rsid w:val="00C84950"/>
    <w:rsid w:val="00C866C9"/>
    <w:rsid w:val="00C87DAC"/>
    <w:rsid w:val="00C91488"/>
    <w:rsid w:val="00C95D4F"/>
    <w:rsid w:val="00C960CE"/>
    <w:rsid w:val="00C9632D"/>
    <w:rsid w:val="00C96E47"/>
    <w:rsid w:val="00CA00AC"/>
    <w:rsid w:val="00CA24B5"/>
    <w:rsid w:val="00CA4892"/>
    <w:rsid w:val="00CB7B5D"/>
    <w:rsid w:val="00CC0686"/>
    <w:rsid w:val="00CC0974"/>
    <w:rsid w:val="00CC1015"/>
    <w:rsid w:val="00CC1765"/>
    <w:rsid w:val="00CC693C"/>
    <w:rsid w:val="00CD00A7"/>
    <w:rsid w:val="00CD0C80"/>
    <w:rsid w:val="00CD26A8"/>
    <w:rsid w:val="00CD26BE"/>
    <w:rsid w:val="00CD2945"/>
    <w:rsid w:val="00CD2B9E"/>
    <w:rsid w:val="00CD3145"/>
    <w:rsid w:val="00CD33AB"/>
    <w:rsid w:val="00CD4222"/>
    <w:rsid w:val="00CD4B80"/>
    <w:rsid w:val="00CD5023"/>
    <w:rsid w:val="00CD528C"/>
    <w:rsid w:val="00CD6D0B"/>
    <w:rsid w:val="00CD7BA4"/>
    <w:rsid w:val="00CE2085"/>
    <w:rsid w:val="00CE2688"/>
    <w:rsid w:val="00CE2EF0"/>
    <w:rsid w:val="00CE41AE"/>
    <w:rsid w:val="00CE49F8"/>
    <w:rsid w:val="00CE4BDF"/>
    <w:rsid w:val="00CE5020"/>
    <w:rsid w:val="00CE5230"/>
    <w:rsid w:val="00CE5EAE"/>
    <w:rsid w:val="00CE6833"/>
    <w:rsid w:val="00CE7E71"/>
    <w:rsid w:val="00CF014E"/>
    <w:rsid w:val="00CF37C1"/>
    <w:rsid w:val="00CF5D21"/>
    <w:rsid w:val="00CF7167"/>
    <w:rsid w:val="00CF78B1"/>
    <w:rsid w:val="00D01079"/>
    <w:rsid w:val="00D014B9"/>
    <w:rsid w:val="00D01E06"/>
    <w:rsid w:val="00D01FAE"/>
    <w:rsid w:val="00D04882"/>
    <w:rsid w:val="00D04F68"/>
    <w:rsid w:val="00D05EE2"/>
    <w:rsid w:val="00D13D24"/>
    <w:rsid w:val="00D15009"/>
    <w:rsid w:val="00D1607E"/>
    <w:rsid w:val="00D17078"/>
    <w:rsid w:val="00D204C5"/>
    <w:rsid w:val="00D21719"/>
    <w:rsid w:val="00D246D7"/>
    <w:rsid w:val="00D24DAA"/>
    <w:rsid w:val="00D25236"/>
    <w:rsid w:val="00D252C9"/>
    <w:rsid w:val="00D25339"/>
    <w:rsid w:val="00D25F57"/>
    <w:rsid w:val="00D26DF2"/>
    <w:rsid w:val="00D27403"/>
    <w:rsid w:val="00D27992"/>
    <w:rsid w:val="00D31B00"/>
    <w:rsid w:val="00D320F5"/>
    <w:rsid w:val="00D32BA5"/>
    <w:rsid w:val="00D32C38"/>
    <w:rsid w:val="00D33245"/>
    <w:rsid w:val="00D33378"/>
    <w:rsid w:val="00D347CE"/>
    <w:rsid w:val="00D3505D"/>
    <w:rsid w:val="00D350E6"/>
    <w:rsid w:val="00D358C4"/>
    <w:rsid w:val="00D366A8"/>
    <w:rsid w:val="00D36793"/>
    <w:rsid w:val="00D40370"/>
    <w:rsid w:val="00D40C3E"/>
    <w:rsid w:val="00D40E88"/>
    <w:rsid w:val="00D452F0"/>
    <w:rsid w:val="00D502B9"/>
    <w:rsid w:val="00D506B0"/>
    <w:rsid w:val="00D525D6"/>
    <w:rsid w:val="00D525F4"/>
    <w:rsid w:val="00D5391C"/>
    <w:rsid w:val="00D541B9"/>
    <w:rsid w:val="00D55020"/>
    <w:rsid w:val="00D5569A"/>
    <w:rsid w:val="00D55A83"/>
    <w:rsid w:val="00D56AAF"/>
    <w:rsid w:val="00D573FD"/>
    <w:rsid w:val="00D601DE"/>
    <w:rsid w:val="00D60AC2"/>
    <w:rsid w:val="00D61264"/>
    <w:rsid w:val="00D6157D"/>
    <w:rsid w:val="00D650AC"/>
    <w:rsid w:val="00D675C8"/>
    <w:rsid w:val="00D71163"/>
    <w:rsid w:val="00D71BD3"/>
    <w:rsid w:val="00D7260F"/>
    <w:rsid w:val="00D72EF2"/>
    <w:rsid w:val="00D72F19"/>
    <w:rsid w:val="00D736E9"/>
    <w:rsid w:val="00D73999"/>
    <w:rsid w:val="00D7607C"/>
    <w:rsid w:val="00D761BC"/>
    <w:rsid w:val="00D76358"/>
    <w:rsid w:val="00D8045A"/>
    <w:rsid w:val="00D816CB"/>
    <w:rsid w:val="00D82249"/>
    <w:rsid w:val="00D8226C"/>
    <w:rsid w:val="00D83D00"/>
    <w:rsid w:val="00D83EDC"/>
    <w:rsid w:val="00D84D73"/>
    <w:rsid w:val="00D86541"/>
    <w:rsid w:val="00D86D57"/>
    <w:rsid w:val="00D87AAE"/>
    <w:rsid w:val="00D87EB7"/>
    <w:rsid w:val="00D902A3"/>
    <w:rsid w:val="00D94067"/>
    <w:rsid w:val="00D94C9E"/>
    <w:rsid w:val="00DA0951"/>
    <w:rsid w:val="00DA0F2B"/>
    <w:rsid w:val="00DA212D"/>
    <w:rsid w:val="00DA2640"/>
    <w:rsid w:val="00DA315D"/>
    <w:rsid w:val="00DA4276"/>
    <w:rsid w:val="00DA42A0"/>
    <w:rsid w:val="00DA525A"/>
    <w:rsid w:val="00DA6AED"/>
    <w:rsid w:val="00DB12F0"/>
    <w:rsid w:val="00DB3842"/>
    <w:rsid w:val="00DB3D4F"/>
    <w:rsid w:val="00DB4901"/>
    <w:rsid w:val="00DB7113"/>
    <w:rsid w:val="00DC0103"/>
    <w:rsid w:val="00DC23CC"/>
    <w:rsid w:val="00DC2EE0"/>
    <w:rsid w:val="00DC54E2"/>
    <w:rsid w:val="00DC5826"/>
    <w:rsid w:val="00DC7019"/>
    <w:rsid w:val="00DD033D"/>
    <w:rsid w:val="00DD071D"/>
    <w:rsid w:val="00DD1002"/>
    <w:rsid w:val="00DD12BA"/>
    <w:rsid w:val="00DD2263"/>
    <w:rsid w:val="00DD31B1"/>
    <w:rsid w:val="00DD48D2"/>
    <w:rsid w:val="00DD4934"/>
    <w:rsid w:val="00DD7B7F"/>
    <w:rsid w:val="00DE059C"/>
    <w:rsid w:val="00DE1161"/>
    <w:rsid w:val="00DE2A50"/>
    <w:rsid w:val="00DE369E"/>
    <w:rsid w:val="00DE4DEE"/>
    <w:rsid w:val="00DE6B8D"/>
    <w:rsid w:val="00DF3509"/>
    <w:rsid w:val="00DF6084"/>
    <w:rsid w:val="00DF6485"/>
    <w:rsid w:val="00DF67A1"/>
    <w:rsid w:val="00DF6D80"/>
    <w:rsid w:val="00DF6DBD"/>
    <w:rsid w:val="00DF733F"/>
    <w:rsid w:val="00DF7F19"/>
    <w:rsid w:val="00E001D1"/>
    <w:rsid w:val="00E02EB6"/>
    <w:rsid w:val="00E0319D"/>
    <w:rsid w:val="00E03392"/>
    <w:rsid w:val="00E03AAF"/>
    <w:rsid w:val="00E0475E"/>
    <w:rsid w:val="00E04FF5"/>
    <w:rsid w:val="00E06452"/>
    <w:rsid w:val="00E10B29"/>
    <w:rsid w:val="00E11ABF"/>
    <w:rsid w:val="00E1209F"/>
    <w:rsid w:val="00E120D9"/>
    <w:rsid w:val="00E12EB2"/>
    <w:rsid w:val="00E12F34"/>
    <w:rsid w:val="00E13382"/>
    <w:rsid w:val="00E1377B"/>
    <w:rsid w:val="00E142AB"/>
    <w:rsid w:val="00E17EEA"/>
    <w:rsid w:val="00E202B3"/>
    <w:rsid w:val="00E20389"/>
    <w:rsid w:val="00E21732"/>
    <w:rsid w:val="00E22393"/>
    <w:rsid w:val="00E2249F"/>
    <w:rsid w:val="00E24CE5"/>
    <w:rsid w:val="00E2629D"/>
    <w:rsid w:val="00E26E07"/>
    <w:rsid w:val="00E27F19"/>
    <w:rsid w:val="00E32DF7"/>
    <w:rsid w:val="00E33473"/>
    <w:rsid w:val="00E348F8"/>
    <w:rsid w:val="00E3494B"/>
    <w:rsid w:val="00E3598C"/>
    <w:rsid w:val="00E421A3"/>
    <w:rsid w:val="00E42446"/>
    <w:rsid w:val="00E43015"/>
    <w:rsid w:val="00E43420"/>
    <w:rsid w:val="00E4349A"/>
    <w:rsid w:val="00E439A1"/>
    <w:rsid w:val="00E459E3"/>
    <w:rsid w:val="00E52815"/>
    <w:rsid w:val="00E53DF9"/>
    <w:rsid w:val="00E55373"/>
    <w:rsid w:val="00E55E96"/>
    <w:rsid w:val="00E56CDB"/>
    <w:rsid w:val="00E571D4"/>
    <w:rsid w:val="00E57600"/>
    <w:rsid w:val="00E6045B"/>
    <w:rsid w:val="00E60729"/>
    <w:rsid w:val="00E616D5"/>
    <w:rsid w:val="00E6336D"/>
    <w:rsid w:val="00E6493A"/>
    <w:rsid w:val="00E6611D"/>
    <w:rsid w:val="00E66590"/>
    <w:rsid w:val="00E720EE"/>
    <w:rsid w:val="00E73DA3"/>
    <w:rsid w:val="00E8167B"/>
    <w:rsid w:val="00E83224"/>
    <w:rsid w:val="00E8408B"/>
    <w:rsid w:val="00E84304"/>
    <w:rsid w:val="00E91661"/>
    <w:rsid w:val="00E9456B"/>
    <w:rsid w:val="00E95F2C"/>
    <w:rsid w:val="00E96745"/>
    <w:rsid w:val="00E96DB2"/>
    <w:rsid w:val="00EA1DE0"/>
    <w:rsid w:val="00EA2664"/>
    <w:rsid w:val="00EA29D7"/>
    <w:rsid w:val="00EA34FA"/>
    <w:rsid w:val="00EA4237"/>
    <w:rsid w:val="00EA430B"/>
    <w:rsid w:val="00EB08A4"/>
    <w:rsid w:val="00EB2763"/>
    <w:rsid w:val="00EB488C"/>
    <w:rsid w:val="00EB55C4"/>
    <w:rsid w:val="00EB627B"/>
    <w:rsid w:val="00EB749B"/>
    <w:rsid w:val="00EC14F8"/>
    <w:rsid w:val="00EC1981"/>
    <w:rsid w:val="00EC1D8C"/>
    <w:rsid w:val="00EC1F63"/>
    <w:rsid w:val="00EC2451"/>
    <w:rsid w:val="00EC2E48"/>
    <w:rsid w:val="00EC2F6C"/>
    <w:rsid w:val="00EC3C66"/>
    <w:rsid w:val="00EC4935"/>
    <w:rsid w:val="00EC4B6A"/>
    <w:rsid w:val="00EC6551"/>
    <w:rsid w:val="00EC78A1"/>
    <w:rsid w:val="00ED0619"/>
    <w:rsid w:val="00ED0C3D"/>
    <w:rsid w:val="00ED160F"/>
    <w:rsid w:val="00ED1B44"/>
    <w:rsid w:val="00ED22BD"/>
    <w:rsid w:val="00ED24D1"/>
    <w:rsid w:val="00ED4AE9"/>
    <w:rsid w:val="00ED52FA"/>
    <w:rsid w:val="00ED5BAC"/>
    <w:rsid w:val="00EE1383"/>
    <w:rsid w:val="00EE1915"/>
    <w:rsid w:val="00EE2499"/>
    <w:rsid w:val="00EE45EF"/>
    <w:rsid w:val="00EF178E"/>
    <w:rsid w:val="00EF32A5"/>
    <w:rsid w:val="00F018D0"/>
    <w:rsid w:val="00F0274E"/>
    <w:rsid w:val="00F053B9"/>
    <w:rsid w:val="00F05535"/>
    <w:rsid w:val="00F10B80"/>
    <w:rsid w:val="00F122F1"/>
    <w:rsid w:val="00F13772"/>
    <w:rsid w:val="00F16202"/>
    <w:rsid w:val="00F23F46"/>
    <w:rsid w:val="00F2461A"/>
    <w:rsid w:val="00F27AB6"/>
    <w:rsid w:val="00F27FFE"/>
    <w:rsid w:val="00F3017E"/>
    <w:rsid w:val="00F3191B"/>
    <w:rsid w:val="00F325EE"/>
    <w:rsid w:val="00F3412C"/>
    <w:rsid w:val="00F34A30"/>
    <w:rsid w:val="00F35287"/>
    <w:rsid w:val="00F35507"/>
    <w:rsid w:val="00F36763"/>
    <w:rsid w:val="00F37298"/>
    <w:rsid w:val="00F37B32"/>
    <w:rsid w:val="00F409D2"/>
    <w:rsid w:val="00F410EB"/>
    <w:rsid w:val="00F42C43"/>
    <w:rsid w:val="00F44DA6"/>
    <w:rsid w:val="00F462A3"/>
    <w:rsid w:val="00F506BC"/>
    <w:rsid w:val="00F508BE"/>
    <w:rsid w:val="00F50FB4"/>
    <w:rsid w:val="00F52E0E"/>
    <w:rsid w:val="00F5397C"/>
    <w:rsid w:val="00F54022"/>
    <w:rsid w:val="00F54802"/>
    <w:rsid w:val="00F61A34"/>
    <w:rsid w:val="00F61CD5"/>
    <w:rsid w:val="00F63BAA"/>
    <w:rsid w:val="00F64F1C"/>
    <w:rsid w:val="00F663D7"/>
    <w:rsid w:val="00F67045"/>
    <w:rsid w:val="00F67E42"/>
    <w:rsid w:val="00F709D0"/>
    <w:rsid w:val="00F71105"/>
    <w:rsid w:val="00F71790"/>
    <w:rsid w:val="00F743AF"/>
    <w:rsid w:val="00F747EC"/>
    <w:rsid w:val="00F74D61"/>
    <w:rsid w:val="00F76A36"/>
    <w:rsid w:val="00F776AA"/>
    <w:rsid w:val="00F77F9B"/>
    <w:rsid w:val="00F824DA"/>
    <w:rsid w:val="00F82E59"/>
    <w:rsid w:val="00F85011"/>
    <w:rsid w:val="00F86DB2"/>
    <w:rsid w:val="00F9008C"/>
    <w:rsid w:val="00F93BCD"/>
    <w:rsid w:val="00F940D9"/>
    <w:rsid w:val="00F956B4"/>
    <w:rsid w:val="00F962F2"/>
    <w:rsid w:val="00F96780"/>
    <w:rsid w:val="00FA0C4B"/>
    <w:rsid w:val="00FB08DA"/>
    <w:rsid w:val="00FB19EF"/>
    <w:rsid w:val="00FB1FB9"/>
    <w:rsid w:val="00FB2179"/>
    <w:rsid w:val="00FB2C5F"/>
    <w:rsid w:val="00FB50AB"/>
    <w:rsid w:val="00FB5ABA"/>
    <w:rsid w:val="00FB74D6"/>
    <w:rsid w:val="00FC0391"/>
    <w:rsid w:val="00FC07A0"/>
    <w:rsid w:val="00FC1312"/>
    <w:rsid w:val="00FC2AE2"/>
    <w:rsid w:val="00FC4104"/>
    <w:rsid w:val="00FC4BF2"/>
    <w:rsid w:val="00FC5817"/>
    <w:rsid w:val="00FC74C1"/>
    <w:rsid w:val="00FD3683"/>
    <w:rsid w:val="00FD419C"/>
    <w:rsid w:val="00FD4BC5"/>
    <w:rsid w:val="00FD699B"/>
    <w:rsid w:val="00FD7562"/>
    <w:rsid w:val="00FE1182"/>
    <w:rsid w:val="00FE34AF"/>
    <w:rsid w:val="00FE6D32"/>
    <w:rsid w:val="00FF04CB"/>
    <w:rsid w:val="00FF134F"/>
    <w:rsid w:val="00FF21A2"/>
    <w:rsid w:val="00FF2297"/>
    <w:rsid w:val="00FF29D1"/>
    <w:rsid w:val="00FF3007"/>
    <w:rsid w:val="00FF3BFA"/>
    <w:rsid w:val="00FF778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893"/>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BE62E0"/>
    <w:pPr>
      <w:keepNext/>
      <w:keepLines/>
      <w:spacing w:before="480"/>
      <w:outlineLvl w:val="0"/>
    </w:pPr>
    <w:rPr>
      <w:rFonts w:asciiTheme="majorHAnsi" w:eastAsiaTheme="majorEastAsia" w:hAnsiTheme="majorHAnsi" w:cstheme="majorBidi"/>
      <w:b/>
      <w:bCs/>
      <w:color w:val="365F91" w:themeColor="accent1" w:themeShade="BF"/>
      <w:sz w:val="28"/>
      <w:szCs w:val="28"/>
      <w:lang w:val="pt-PT" w:eastAsia="en-US"/>
    </w:rPr>
  </w:style>
  <w:style w:type="paragraph" w:styleId="Heading2">
    <w:name w:val="heading 2"/>
    <w:basedOn w:val="Normal"/>
    <w:next w:val="Normal"/>
    <w:link w:val="Heading2Char"/>
    <w:uiPriority w:val="9"/>
    <w:unhideWhenUsed/>
    <w:qFormat/>
    <w:rsid w:val="00037FF8"/>
    <w:pPr>
      <w:keepNext/>
      <w:keepLines/>
      <w:spacing w:before="200"/>
      <w:outlineLvl w:val="1"/>
    </w:pPr>
    <w:rPr>
      <w:rFonts w:asciiTheme="majorHAnsi" w:eastAsiaTheme="majorEastAsia" w:hAnsiTheme="majorHAnsi" w:cstheme="majorBidi"/>
      <w:b/>
      <w:bCs/>
      <w:color w:val="4F81BD" w:themeColor="accent1"/>
      <w:sz w:val="26"/>
      <w:szCs w:val="26"/>
      <w:lang w:val="pt-PT" w:eastAsia="en-US"/>
    </w:rPr>
  </w:style>
  <w:style w:type="paragraph" w:styleId="Heading3">
    <w:name w:val="heading 3"/>
    <w:basedOn w:val="Normal"/>
    <w:next w:val="Normal"/>
    <w:link w:val="Heading3Char"/>
    <w:uiPriority w:val="9"/>
    <w:qFormat/>
    <w:rsid w:val="00FF134F"/>
    <w:pPr>
      <w:keepNext/>
      <w:ind w:left="180"/>
      <w:jc w:val="both"/>
      <w:outlineLvl w:val="2"/>
    </w:pPr>
    <w:rPr>
      <w:u w:val="single"/>
    </w:rPr>
  </w:style>
  <w:style w:type="paragraph" w:styleId="Heading4">
    <w:name w:val="heading 4"/>
    <w:basedOn w:val="Normal"/>
    <w:next w:val="Normal"/>
    <w:link w:val="Heading4Char"/>
    <w:uiPriority w:val="9"/>
    <w:qFormat/>
    <w:rsid w:val="00FF134F"/>
    <w:pPr>
      <w:keepNext/>
      <w:jc w:val="both"/>
      <w:outlineLvl w:val="3"/>
    </w:pPr>
    <w:rPr>
      <w:u w:val="single"/>
    </w:rPr>
  </w:style>
  <w:style w:type="paragraph" w:styleId="Heading5">
    <w:name w:val="heading 5"/>
    <w:basedOn w:val="Normal"/>
    <w:next w:val="Normal"/>
    <w:link w:val="Heading5Char"/>
    <w:qFormat/>
    <w:rsid w:val="00FF134F"/>
    <w:pPr>
      <w:keepNext/>
      <w:jc w:val="both"/>
      <w:outlineLvl w:val="4"/>
    </w:pPr>
    <w:rPr>
      <w:b/>
      <w:bCs/>
    </w:rPr>
  </w:style>
  <w:style w:type="paragraph" w:styleId="Heading6">
    <w:name w:val="heading 6"/>
    <w:basedOn w:val="Normal"/>
    <w:next w:val="Normal"/>
    <w:link w:val="Heading6Char"/>
    <w:qFormat/>
    <w:rsid w:val="00FF134F"/>
    <w:pPr>
      <w:keepNext/>
      <w:ind w:left="18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20FD"/>
    <w:rPr>
      <w:rFonts w:ascii="Tahoma" w:eastAsia="Calibri" w:hAnsi="Tahoma" w:cs="Tahoma"/>
      <w:sz w:val="16"/>
      <w:szCs w:val="16"/>
      <w:lang w:val="pt-PT" w:eastAsia="en-US"/>
    </w:rPr>
  </w:style>
  <w:style w:type="character" w:customStyle="1" w:styleId="BalloonTextChar">
    <w:name w:val="Balloon Text Char"/>
    <w:basedOn w:val="DefaultParagraphFont"/>
    <w:link w:val="BalloonText"/>
    <w:uiPriority w:val="99"/>
    <w:semiHidden/>
    <w:rsid w:val="001320FD"/>
    <w:rPr>
      <w:rFonts w:ascii="Tahoma" w:eastAsia="Calibri" w:hAnsi="Tahoma" w:cs="Tahoma"/>
      <w:sz w:val="16"/>
      <w:szCs w:val="16"/>
      <w:lang w:val="pt-PT"/>
    </w:rPr>
  </w:style>
  <w:style w:type="paragraph" w:styleId="Header">
    <w:name w:val="header"/>
    <w:basedOn w:val="Normal"/>
    <w:link w:val="HeaderChar"/>
    <w:uiPriority w:val="99"/>
    <w:unhideWhenUsed/>
    <w:rsid w:val="001320FD"/>
    <w:pPr>
      <w:tabs>
        <w:tab w:val="center" w:pos="4513"/>
        <w:tab w:val="right" w:pos="9026"/>
      </w:tabs>
    </w:pPr>
    <w:rPr>
      <w:rFonts w:ascii="Verdana" w:eastAsia="Calibri" w:hAnsi="Verdana"/>
      <w:sz w:val="22"/>
      <w:lang w:val="pt-PT" w:eastAsia="en-US"/>
    </w:rPr>
  </w:style>
  <w:style w:type="character" w:customStyle="1" w:styleId="HeaderChar">
    <w:name w:val="Header Char"/>
    <w:basedOn w:val="DefaultParagraphFont"/>
    <w:link w:val="Header"/>
    <w:uiPriority w:val="99"/>
    <w:rsid w:val="001320FD"/>
    <w:rPr>
      <w:rFonts w:ascii="Verdana" w:eastAsia="Calibri" w:hAnsi="Verdana" w:cs="Times New Roman"/>
      <w:szCs w:val="24"/>
      <w:lang w:val="pt-PT"/>
    </w:rPr>
  </w:style>
  <w:style w:type="paragraph" w:styleId="Footer">
    <w:name w:val="footer"/>
    <w:aliases w:val="Fußzeile Verdana 8p Regular,Mittelachse"/>
    <w:basedOn w:val="Normal"/>
    <w:link w:val="FooterChar"/>
    <w:uiPriority w:val="99"/>
    <w:unhideWhenUsed/>
    <w:qFormat/>
    <w:rsid w:val="001320FD"/>
    <w:pPr>
      <w:tabs>
        <w:tab w:val="center" w:pos="4513"/>
        <w:tab w:val="right" w:pos="9026"/>
      </w:tabs>
    </w:pPr>
    <w:rPr>
      <w:rFonts w:ascii="Verdana" w:eastAsia="Calibri" w:hAnsi="Verdana"/>
      <w:sz w:val="22"/>
      <w:lang w:val="pt-PT" w:eastAsia="en-US"/>
    </w:rPr>
  </w:style>
  <w:style w:type="character" w:customStyle="1" w:styleId="FooterChar">
    <w:name w:val="Footer Char"/>
    <w:aliases w:val="Fußzeile Verdana 8p Regular Char,Mittelachse Char"/>
    <w:basedOn w:val="DefaultParagraphFont"/>
    <w:link w:val="Footer"/>
    <w:uiPriority w:val="99"/>
    <w:rsid w:val="001320FD"/>
    <w:rPr>
      <w:rFonts w:ascii="Verdana" w:eastAsia="Calibri" w:hAnsi="Verdana" w:cs="Times New Roman"/>
      <w:szCs w:val="24"/>
      <w:lang w:val="pt-PT"/>
    </w:rPr>
  </w:style>
  <w:style w:type="character" w:styleId="Hyperlink">
    <w:name w:val="Hyperlink"/>
    <w:uiPriority w:val="99"/>
    <w:rsid w:val="001320FD"/>
    <w:rPr>
      <w:rFonts w:cs="Times New Roman"/>
      <w:b/>
      <w:bCs/>
      <w:color w:val="0000FF"/>
      <w:u w:val="single"/>
    </w:rPr>
  </w:style>
  <w:style w:type="character" w:styleId="CommentReference">
    <w:name w:val="annotation reference"/>
    <w:uiPriority w:val="99"/>
    <w:rsid w:val="00784632"/>
    <w:rPr>
      <w:rFonts w:cs="Times New Roman"/>
      <w:sz w:val="16"/>
      <w:szCs w:val="16"/>
    </w:rPr>
  </w:style>
  <w:style w:type="paragraph" w:styleId="CommentText">
    <w:name w:val="annotation text"/>
    <w:basedOn w:val="Normal"/>
    <w:link w:val="CommentTextChar"/>
    <w:uiPriority w:val="99"/>
    <w:rsid w:val="00784632"/>
    <w:pPr>
      <w:spacing w:before="120" w:after="120"/>
      <w:ind w:left="1066" w:hanging="357"/>
      <w:jc w:val="both"/>
    </w:pPr>
    <w:rPr>
      <w:rFonts w:ascii="Verdana" w:eastAsia="Calibri" w:hAnsi="Verdana"/>
      <w:sz w:val="20"/>
      <w:szCs w:val="20"/>
      <w:lang w:eastAsia="pt-PT"/>
    </w:rPr>
  </w:style>
  <w:style w:type="character" w:customStyle="1" w:styleId="CommentTextChar">
    <w:name w:val="Comment Text Char"/>
    <w:basedOn w:val="DefaultParagraphFont"/>
    <w:link w:val="CommentText"/>
    <w:uiPriority w:val="99"/>
    <w:rsid w:val="00784632"/>
    <w:rPr>
      <w:rFonts w:ascii="Verdana" w:eastAsia="Calibri" w:hAnsi="Verdana" w:cs="Times New Roman"/>
      <w:sz w:val="20"/>
      <w:szCs w:val="20"/>
      <w:lang w:eastAsia="pt-PT"/>
    </w:rPr>
  </w:style>
  <w:style w:type="paragraph" w:styleId="CommentSubject">
    <w:name w:val="annotation subject"/>
    <w:basedOn w:val="CommentText"/>
    <w:next w:val="CommentText"/>
    <w:link w:val="CommentSubjectChar"/>
    <w:uiPriority w:val="99"/>
    <w:unhideWhenUsed/>
    <w:rsid w:val="005E2AD4"/>
    <w:pPr>
      <w:ind w:left="0" w:firstLine="0"/>
      <w:jc w:val="left"/>
    </w:pPr>
    <w:rPr>
      <w:b/>
      <w:bCs/>
      <w:lang w:val="pt-PT" w:eastAsia="en-US"/>
    </w:rPr>
  </w:style>
  <w:style w:type="character" w:customStyle="1" w:styleId="CommentSubjectChar">
    <w:name w:val="Comment Subject Char"/>
    <w:basedOn w:val="CommentTextChar"/>
    <w:link w:val="CommentSubject"/>
    <w:uiPriority w:val="99"/>
    <w:rsid w:val="005E2AD4"/>
    <w:rPr>
      <w:rFonts w:ascii="Verdana" w:eastAsia="Calibri" w:hAnsi="Verdana" w:cs="Times New Roman"/>
      <w:b/>
      <w:bCs/>
      <w:sz w:val="20"/>
      <w:szCs w:val="20"/>
      <w:lang w:val="pt-PT" w:eastAsia="pt-PT"/>
    </w:rPr>
  </w:style>
  <w:style w:type="paragraph" w:styleId="ListParagraph">
    <w:name w:val="List Paragraph"/>
    <w:basedOn w:val="Normal"/>
    <w:uiPriority w:val="34"/>
    <w:qFormat/>
    <w:rsid w:val="006A3816"/>
    <w:pPr>
      <w:spacing w:before="120" w:after="120"/>
      <w:ind w:left="720"/>
      <w:contextualSpacing/>
    </w:pPr>
    <w:rPr>
      <w:rFonts w:ascii="Verdana" w:eastAsia="Calibri" w:hAnsi="Verdana"/>
      <w:sz w:val="22"/>
      <w:lang w:val="pt-PT" w:eastAsia="en-US"/>
    </w:rPr>
  </w:style>
  <w:style w:type="paragraph" w:styleId="FootnoteText">
    <w:name w:val="footnote text"/>
    <w:aliases w:val="Footnote Text Char1,Footnote Text Char Char,Fußnotentext Char Char Char,Fußnotentext Char1 Char Char Char,Fußnotentext Char Char Char Char Char,Fußnotentext Char1 Char Char Char Char Char,Verdana 8p Regular Foot,Fußno"/>
    <w:basedOn w:val="Normal"/>
    <w:link w:val="FootnoteTextChar"/>
    <w:uiPriority w:val="99"/>
    <w:qFormat/>
    <w:rsid w:val="00415A64"/>
    <w:pPr>
      <w:spacing w:before="120"/>
    </w:pPr>
    <w:rPr>
      <w:rFonts w:ascii="Verdana" w:eastAsia="Calibri" w:hAnsi="Verdana"/>
      <w:sz w:val="20"/>
      <w:szCs w:val="20"/>
      <w:lang w:val="pt-PT" w:eastAsia="en-US"/>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Fußno Char"/>
    <w:basedOn w:val="DefaultParagraphFont"/>
    <w:link w:val="FootnoteText"/>
    <w:uiPriority w:val="99"/>
    <w:rsid w:val="00415A64"/>
    <w:rPr>
      <w:rFonts w:ascii="Verdana" w:eastAsia="Calibri" w:hAnsi="Verdana" w:cs="Times New Roman"/>
      <w:sz w:val="20"/>
      <w:szCs w:val="20"/>
      <w:lang w:val="pt-PT"/>
    </w:rPr>
  </w:style>
  <w:style w:type="character" w:styleId="FootnoteReference">
    <w:name w:val="footnote reference"/>
    <w:aliases w:val="Verdana 11p Regular,hochgestellt,Footnote Reference Number,Footnote Reference_LVL6,Footnote Reference_LVL61,Footnote Reference_LVL62,Footnote Reference_LVL63,Footnote Reference_LVL64,Fußnotenzeichen3,16 Point,Superscript 6 Point"/>
    <w:uiPriority w:val="99"/>
    <w:qFormat/>
    <w:rsid w:val="00415A64"/>
    <w:rPr>
      <w:rFonts w:cs="Times New Roman"/>
      <w:vertAlign w:val="superscript"/>
    </w:rPr>
  </w:style>
  <w:style w:type="paragraph" w:customStyle="1" w:styleId="Titrearticle">
    <w:name w:val="Titre article"/>
    <w:basedOn w:val="Normal"/>
    <w:next w:val="Normal"/>
    <w:rsid w:val="00184026"/>
    <w:pPr>
      <w:keepNext/>
      <w:spacing w:before="360" w:after="120"/>
      <w:jc w:val="center"/>
    </w:pPr>
    <w:rPr>
      <w:rFonts w:eastAsia="Calibri"/>
      <w:i/>
      <w:lang w:eastAsia="de-DE"/>
    </w:rPr>
  </w:style>
  <w:style w:type="paragraph" w:customStyle="1" w:styleId="Fait">
    <w:name w:val="Fait à"/>
    <w:basedOn w:val="Normal"/>
    <w:next w:val="Institutionquisigne"/>
    <w:rsid w:val="00184026"/>
    <w:pPr>
      <w:keepNext/>
      <w:spacing w:before="120"/>
      <w:jc w:val="both"/>
    </w:pPr>
    <w:rPr>
      <w:rFonts w:eastAsia="Calibri"/>
      <w:lang w:eastAsia="de-DE"/>
    </w:rPr>
  </w:style>
  <w:style w:type="paragraph" w:customStyle="1" w:styleId="Institutionquisigne">
    <w:name w:val="Institution qui signe"/>
    <w:basedOn w:val="Normal"/>
    <w:next w:val="Normal"/>
    <w:rsid w:val="00184026"/>
    <w:pPr>
      <w:keepNext/>
      <w:tabs>
        <w:tab w:val="left" w:pos="4252"/>
      </w:tabs>
      <w:spacing w:before="720"/>
      <w:jc w:val="both"/>
    </w:pPr>
    <w:rPr>
      <w:rFonts w:eastAsia="Calibri"/>
      <w:i/>
      <w:lang w:eastAsia="de-DE"/>
    </w:rPr>
  </w:style>
  <w:style w:type="paragraph" w:customStyle="1" w:styleId="Default">
    <w:name w:val="Default"/>
    <w:rsid w:val="00184026"/>
    <w:pPr>
      <w:autoSpaceDE w:val="0"/>
      <w:autoSpaceDN w:val="0"/>
      <w:adjustRightInd w:val="0"/>
      <w:spacing w:after="0" w:line="240" w:lineRule="auto"/>
    </w:pPr>
    <w:rPr>
      <w:rFonts w:ascii="EUAlbertina" w:hAnsi="EUAlbertina" w:cs="EUAlbertina"/>
      <w:color w:val="000000"/>
      <w:sz w:val="24"/>
      <w:szCs w:val="24"/>
    </w:rPr>
  </w:style>
  <w:style w:type="paragraph" w:customStyle="1" w:styleId="NumPar1">
    <w:name w:val="NumPar 1"/>
    <w:basedOn w:val="Normal"/>
    <w:next w:val="Normal"/>
    <w:rsid w:val="009811D4"/>
    <w:pPr>
      <w:numPr>
        <w:numId w:val="1"/>
      </w:numPr>
      <w:spacing w:before="120" w:after="120"/>
    </w:pPr>
  </w:style>
  <w:style w:type="character" w:customStyle="1" w:styleId="DeltaViewInsertion">
    <w:name w:val="DeltaView Insertion"/>
    <w:rsid w:val="00452194"/>
    <w:rPr>
      <w:color w:val="0000FF"/>
      <w:u w:val="double"/>
    </w:rPr>
  </w:style>
  <w:style w:type="paragraph" w:styleId="Revision">
    <w:name w:val="Revision"/>
    <w:hidden/>
    <w:uiPriority w:val="99"/>
    <w:semiHidden/>
    <w:rsid w:val="00452194"/>
    <w:pPr>
      <w:spacing w:after="0" w:line="240" w:lineRule="auto"/>
    </w:pPr>
    <w:rPr>
      <w:rFonts w:ascii="Verdana" w:eastAsia="Calibri" w:hAnsi="Verdana" w:cs="Times New Roman"/>
      <w:szCs w:val="24"/>
      <w:lang w:val="pt-PT"/>
    </w:rPr>
  </w:style>
  <w:style w:type="paragraph" w:customStyle="1" w:styleId="Lijstalinea">
    <w:name w:val="Lijstalinea"/>
    <w:basedOn w:val="Normal"/>
    <w:uiPriority w:val="34"/>
    <w:qFormat/>
    <w:rsid w:val="003A0927"/>
    <w:pPr>
      <w:spacing w:line="260" w:lineRule="atLeast"/>
      <w:ind w:left="720"/>
      <w:contextualSpacing/>
    </w:pPr>
    <w:rPr>
      <w:rFonts w:ascii="Verdana" w:hAnsi="Verdana"/>
      <w:kern w:val="10"/>
      <w:sz w:val="20"/>
      <w:szCs w:val="20"/>
      <w:lang w:val="de-DE" w:eastAsia="de-DE"/>
    </w:rPr>
  </w:style>
  <w:style w:type="numbering" w:customStyle="1" w:styleId="Style1">
    <w:name w:val="Style1"/>
    <w:basedOn w:val="NoList"/>
    <w:uiPriority w:val="99"/>
    <w:rsid w:val="001434D5"/>
    <w:pPr>
      <w:numPr>
        <w:numId w:val="2"/>
      </w:numPr>
    </w:pPr>
  </w:style>
  <w:style w:type="table" w:customStyle="1" w:styleId="TableGrid1">
    <w:name w:val="Table Grid1"/>
    <w:basedOn w:val="TableNormal"/>
    <w:next w:val="TableGrid"/>
    <w:uiPriority w:val="99"/>
    <w:rsid w:val="00BE62E0"/>
    <w:pPr>
      <w:spacing w:after="0" w:line="240" w:lineRule="auto"/>
    </w:pPr>
    <w:rPr>
      <w:rFonts w:ascii="Verdana" w:eastAsia="Times New Roman" w:hAnsi="Verdana"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E6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E62E0"/>
    <w:rPr>
      <w:rFonts w:asciiTheme="majorHAnsi" w:eastAsiaTheme="majorEastAsia" w:hAnsiTheme="majorHAnsi" w:cstheme="majorBidi"/>
      <w:b/>
      <w:bCs/>
      <w:color w:val="365F91" w:themeColor="accent1" w:themeShade="BF"/>
      <w:sz w:val="28"/>
      <w:szCs w:val="28"/>
      <w:lang w:val="pt-PT"/>
    </w:rPr>
  </w:style>
  <w:style w:type="paragraph" w:styleId="TOCHeading">
    <w:name w:val="TOC Heading"/>
    <w:basedOn w:val="Heading1"/>
    <w:next w:val="Normal"/>
    <w:uiPriority w:val="39"/>
    <w:unhideWhenUsed/>
    <w:qFormat/>
    <w:rsid w:val="00BE62E0"/>
    <w:pPr>
      <w:spacing w:before="240" w:after="60"/>
      <w:jc w:val="both"/>
      <w:outlineLvl w:val="9"/>
    </w:pPr>
    <w:rPr>
      <w:rFonts w:ascii="Verdana" w:hAnsi="Verdana"/>
      <w:color w:val="auto"/>
      <w:szCs w:val="24"/>
      <w:lang w:val="en-US" w:eastAsia="ja-JP"/>
    </w:rPr>
  </w:style>
  <w:style w:type="paragraph" w:styleId="TOC1">
    <w:name w:val="toc 1"/>
    <w:basedOn w:val="Normal"/>
    <w:next w:val="Normal"/>
    <w:autoRedefine/>
    <w:uiPriority w:val="39"/>
    <w:unhideWhenUsed/>
    <w:rsid w:val="00BE62E0"/>
    <w:pPr>
      <w:tabs>
        <w:tab w:val="right" w:leader="dot" w:pos="9016"/>
      </w:tabs>
      <w:jc w:val="both"/>
    </w:pPr>
    <w:rPr>
      <w:rFonts w:ascii="Verdana" w:eastAsiaTheme="minorHAnsi" w:hAnsi="Verdana" w:cstheme="minorBidi"/>
      <w:b/>
      <w:noProof/>
      <w:sz w:val="20"/>
      <w:szCs w:val="20"/>
      <w:lang w:eastAsia="en-US"/>
    </w:rPr>
  </w:style>
  <w:style w:type="character" w:customStyle="1" w:styleId="Bold">
    <w:name w:val="Bold"/>
    <w:basedOn w:val="DefaultParagraphFont"/>
    <w:uiPriority w:val="1"/>
    <w:qFormat/>
    <w:rsid w:val="00BE62E0"/>
    <w:rPr>
      <w:b/>
    </w:rPr>
  </w:style>
  <w:style w:type="character" w:customStyle="1" w:styleId="Regular">
    <w:name w:val="Regular"/>
    <w:basedOn w:val="DefaultParagraphFont"/>
    <w:uiPriority w:val="1"/>
    <w:qFormat/>
    <w:rsid w:val="00BE62E0"/>
  </w:style>
  <w:style w:type="paragraph" w:customStyle="1" w:styleId="Bulletpoints1">
    <w:name w:val="Bullet points1"/>
    <w:basedOn w:val="ListBullet"/>
    <w:qFormat/>
    <w:rsid w:val="00BE62E0"/>
  </w:style>
  <w:style w:type="paragraph" w:styleId="ListBullet">
    <w:name w:val="List Bullet"/>
    <w:basedOn w:val="Normal"/>
    <w:uiPriority w:val="99"/>
    <w:semiHidden/>
    <w:unhideWhenUsed/>
    <w:rsid w:val="00BE62E0"/>
    <w:pPr>
      <w:numPr>
        <w:numId w:val="3"/>
      </w:numPr>
      <w:spacing w:before="120"/>
      <w:contextualSpacing/>
      <w:jc w:val="both"/>
    </w:pPr>
    <w:rPr>
      <w:rFonts w:ascii="Verdana" w:eastAsiaTheme="minorHAnsi" w:hAnsi="Verdana" w:cstheme="minorBidi"/>
      <w:sz w:val="22"/>
      <w:szCs w:val="22"/>
      <w:lang w:eastAsia="en-US"/>
    </w:rPr>
  </w:style>
  <w:style w:type="paragraph" w:customStyle="1" w:styleId="Regulationcenter">
    <w:name w:val="Regulation center"/>
    <w:basedOn w:val="Normal"/>
    <w:qFormat/>
    <w:rsid w:val="00F956B4"/>
    <w:pPr>
      <w:keepNext/>
      <w:spacing w:before="360" w:after="120"/>
      <w:jc w:val="center"/>
    </w:pPr>
    <w:rPr>
      <w:color w:val="000000"/>
      <w:lang w:eastAsia="de-DE"/>
    </w:rPr>
  </w:style>
  <w:style w:type="paragraph" w:customStyle="1" w:styleId="BoxText">
    <w:name w:val="Box Text"/>
    <w:basedOn w:val="Normal"/>
    <w:qFormat/>
    <w:rsid w:val="00E2249F"/>
    <w:pPr>
      <w:pBdr>
        <w:top w:val="single" w:sz="4" w:space="10" w:color="D0E7F6"/>
        <w:left w:val="single" w:sz="4" w:space="8" w:color="D0E7F6"/>
        <w:bottom w:val="single" w:sz="4" w:space="10" w:color="D0E7F6"/>
        <w:right w:val="single" w:sz="4" w:space="8" w:color="D0E7F6"/>
      </w:pBdr>
      <w:shd w:val="clear" w:color="auto" w:fill="D0E7F6"/>
      <w:spacing w:before="120"/>
      <w:ind w:left="227" w:right="170"/>
      <w:jc w:val="both"/>
    </w:pPr>
    <w:rPr>
      <w:rFonts w:ascii="Verdana" w:eastAsia="MS Mincho" w:hAnsi="Verdana"/>
      <w:sz w:val="22"/>
      <w:szCs w:val="22"/>
      <w:lang w:val="de-DE" w:eastAsia="de-DE"/>
    </w:rPr>
  </w:style>
  <w:style w:type="character" w:customStyle="1" w:styleId="BoldUnderlined">
    <w:name w:val="Bold Underlined"/>
    <w:basedOn w:val="DefaultParagraphFont"/>
    <w:uiPriority w:val="1"/>
    <w:qFormat/>
    <w:rsid w:val="00E2249F"/>
    <w:rPr>
      <w:b/>
      <w:u w:val="single"/>
    </w:rPr>
  </w:style>
  <w:style w:type="paragraph" w:customStyle="1" w:styleId="Bulletpoints3">
    <w:name w:val="Bullet points3"/>
    <w:basedOn w:val="Normal"/>
    <w:qFormat/>
    <w:rsid w:val="00344798"/>
    <w:pPr>
      <w:numPr>
        <w:numId w:val="4"/>
      </w:numPr>
      <w:spacing w:before="120"/>
      <w:ind w:right="170"/>
      <w:jc w:val="both"/>
    </w:pPr>
    <w:rPr>
      <w:rFonts w:ascii="Verdana" w:eastAsia="MS Mincho" w:hAnsi="Verdana"/>
      <w:sz w:val="22"/>
      <w:szCs w:val="22"/>
      <w:lang w:val="de-DE" w:eastAsia="de-DE"/>
    </w:rPr>
  </w:style>
  <w:style w:type="character" w:customStyle="1" w:styleId="Heading2Char">
    <w:name w:val="Heading 2 Char"/>
    <w:basedOn w:val="DefaultParagraphFont"/>
    <w:link w:val="Heading2"/>
    <w:uiPriority w:val="9"/>
    <w:rsid w:val="00037FF8"/>
    <w:rPr>
      <w:rFonts w:asciiTheme="majorHAnsi" w:eastAsiaTheme="majorEastAsia" w:hAnsiTheme="majorHAnsi" w:cstheme="majorBidi"/>
      <w:b/>
      <w:bCs/>
      <w:color w:val="4F81BD" w:themeColor="accent1"/>
      <w:sz w:val="26"/>
      <w:szCs w:val="26"/>
      <w:lang w:val="pt-PT"/>
    </w:rPr>
  </w:style>
  <w:style w:type="character" w:styleId="Emphasis">
    <w:name w:val="Emphasis"/>
    <w:uiPriority w:val="20"/>
    <w:qFormat/>
    <w:rsid w:val="006B29E2"/>
    <w:rPr>
      <w:i/>
      <w:iCs/>
    </w:rPr>
  </w:style>
  <w:style w:type="character" w:styleId="Strong">
    <w:name w:val="Strong"/>
    <w:uiPriority w:val="22"/>
    <w:qFormat/>
    <w:rsid w:val="006B29E2"/>
    <w:rPr>
      <w:b/>
      <w:bCs/>
    </w:rPr>
  </w:style>
  <w:style w:type="paragraph" w:styleId="TOC2">
    <w:name w:val="toc 2"/>
    <w:basedOn w:val="Normal"/>
    <w:next w:val="Normal"/>
    <w:autoRedefine/>
    <w:uiPriority w:val="39"/>
    <w:unhideWhenUsed/>
    <w:rsid w:val="00AB0FD3"/>
    <w:pPr>
      <w:spacing w:before="120" w:after="100"/>
      <w:ind w:left="220"/>
    </w:pPr>
    <w:rPr>
      <w:rFonts w:ascii="Verdana" w:eastAsia="Calibri" w:hAnsi="Verdana"/>
      <w:sz w:val="22"/>
      <w:lang w:val="pt-PT" w:eastAsia="en-US"/>
    </w:rPr>
  </w:style>
  <w:style w:type="character" w:customStyle="1" w:styleId="Heading3Char">
    <w:name w:val="Heading 3 Char"/>
    <w:basedOn w:val="DefaultParagraphFont"/>
    <w:link w:val="Heading3"/>
    <w:uiPriority w:val="9"/>
    <w:rsid w:val="00FF134F"/>
    <w:rPr>
      <w:rFonts w:ascii="Times New Roman" w:eastAsia="Times New Roman" w:hAnsi="Times New Roman" w:cs="Times New Roman"/>
      <w:sz w:val="24"/>
      <w:szCs w:val="24"/>
      <w:u w:val="single"/>
      <w:lang w:eastAsia="en-GB"/>
    </w:rPr>
  </w:style>
  <w:style w:type="character" w:customStyle="1" w:styleId="Heading4Char">
    <w:name w:val="Heading 4 Char"/>
    <w:basedOn w:val="DefaultParagraphFont"/>
    <w:link w:val="Heading4"/>
    <w:uiPriority w:val="9"/>
    <w:rsid w:val="00FF134F"/>
    <w:rPr>
      <w:rFonts w:ascii="Times New Roman" w:eastAsia="Times New Roman" w:hAnsi="Times New Roman" w:cs="Times New Roman"/>
      <w:sz w:val="24"/>
      <w:szCs w:val="24"/>
      <w:u w:val="single"/>
      <w:lang w:eastAsia="en-GB"/>
    </w:rPr>
  </w:style>
  <w:style w:type="character" w:customStyle="1" w:styleId="Heading5Char">
    <w:name w:val="Heading 5 Char"/>
    <w:basedOn w:val="DefaultParagraphFont"/>
    <w:link w:val="Heading5"/>
    <w:rsid w:val="00FF134F"/>
    <w:rPr>
      <w:rFonts w:ascii="Times New Roman" w:eastAsia="Times New Roman" w:hAnsi="Times New Roman" w:cs="Times New Roman"/>
      <w:b/>
      <w:bCs/>
      <w:sz w:val="24"/>
      <w:szCs w:val="24"/>
      <w:lang w:eastAsia="en-GB"/>
    </w:rPr>
  </w:style>
  <w:style w:type="character" w:customStyle="1" w:styleId="Heading6Char">
    <w:name w:val="Heading 6 Char"/>
    <w:basedOn w:val="DefaultParagraphFont"/>
    <w:link w:val="Heading6"/>
    <w:rsid w:val="00FF134F"/>
    <w:rPr>
      <w:rFonts w:ascii="Times New Roman" w:eastAsia="Times New Roman" w:hAnsi="Times New Roman" w:cs="Times New Roman"/>
      <w:b/>
      <w:bCs/>
      <w:sz w:val="24"/>
      <w:szCs w:val="24"/>
      <w:lang w:eastAsia="en-GB"/>
    </w:rPr>
  </w:style>
  <w:style w:type="paragraph" w:customStyle="1" w:styleId="Char1CharCharCharCharChar">
    <w:name w:val="Char1 Char Char Char Char Char"/>
    <w:basedOn w:val="Normal"/>
    <w:rsid w:val="00FF134F"/>
    <w:pPr>
      <w:spacing w:after="160" w:line="240" w:lineRule="exact"/>
    </w:pPr>
    <w:rPr>
      <w:rFonts w:ascii="Arial" w:hAnsi="Arial"/>
      <w:sz w:val="20"/>
      <w:szCs w:val="20"/>
      <w:lang w:val="en-US" w:eastAsia="en-US"/>
    </w:rPr>
  </w:style>
  <w:style w:type="character" w:styleId="PageNumber">
    <w:name w:val="page number"/>
    <w:aliases w:val="Seitenzahl Verdana 9p – Regular"/>
    <w:basedOn w:val="DefaultParagraphFont"/>
    <w:rsid w:val="00FF134F"/>
  </w:style>
  <w:style w:type="paragraph" w:styleId="BodyText">
    <w:name w:val="Body Text"/>
    <w:basedOn w:val="Normal"/>
    <w:link w:val="BodyTextChar"/>
    <w:rsid w:val="00FF134F"/>
    <w:pPr>
      <w:jc w:val="both"/>
    </w:pPr>
  </w:style>
  <w:style w:type="character" w:customStyle="1" w:styleId="BodyTextChar">
    <w:name w:val="Body Text Char"/>
    <w:basedOn w:val="DefaultParagraphFont"/>
    <w:link w:val="BodyText"/>
    <w:rsid w:val="00FF134F"/>
    <w:rPr>
      <w:rFonts w:ascii="Times New Roman" w:eastAsia="Times New Roman" w:hAnsi="Times New Roman" w:cs="Times New Roman"/>
      <w:sz w:val="24"/>
      <w:szCs w:val="24"/>
      <w:lang w:eastAsia="en-GB"/>
    </w:rPr>
  </w:style>
  <w:style w:type="paragraph" w:styleId="BodyTextIndent">
    <w:name w:val="Body Text Indent"/>
    <w:basedOn w:val="Normal"/>
    <w:link w:val="BodyTextIndentChar"/>
    <w:rsid w:val="00FF134F"/>
    <w:pPr>
      <w:ind w:left="180"/>
      <w:jc w:val="both"/>
    </w:pPr>
    <w:rPr>
      <w:szCs w:val="22"/>
    </w:rPr>
  </w:style>
  <w:style w:type="character" w:customStyle="1" w:styleId="BodyTextIndentChar">
    <w:name w:val="Body Text Indent Char"/>
    <w:basedOn w:val="DefaultParagraphFont"/>
    <w:link w:val="BodyTextIndent"/>
    <w:rsid w:val="00FF134F"/>
    <w:rPr>
      <w:rFonts w:ascii="Times New Roman" w:eastAsia="Times New Roman" w:hAnsi="Times New Roman" w:cs="Times New Roman"/>
      <w:sz w:val="24"/>
      <w:lang w:eastAsia="en-GB"/>
    </w:rPr>
  </w:style>
  <w:style w:type="paragraph" w:customStyle="1" w:styleId="Paragraphedeliste1">
    <w:name w:val="Paragraphe de liste1"/>
    <w:basedOn w:val="Normal"/>
    <w:qFormat/>
    <w:rsid w:val="00FF134F"/>
    <w:pPr>
      <w:ind w:left="708"/>
    </w:pPr>
  </w:style>
  <w:style w:type="paragraph" w:customStyle="1" w:styleId="Rvision1">
    <w:name w:val="Révision1"/>
    <w:hidden/>
    <w:uiPriority w:val="99"/>
    <w:semiHidden/>
    <w:rsid w:val="00FF134F"/>
    <w:pPr>
      <w:spacing w:after="0" w:line="240" w:lineRule="auto"/>
    </w:pPr>
    <w:rPr>
      <w:rFonts w:ascii="Times New Roman" w:eastAsia="Times New Roman" w:hAnsi="Times New Roman" w:cs="Times New Roman"/>
      <w:sz w:val="24"/>
      <w:szCs w:val="24"/>
      <w:lang w:eastAsia="en-GB"/>
    </w:rPr>
  </w:style>
  <w:style w:type="paragraph" w:styleId="TOC3">
    <w:name w:val="toc 3"/>
    <w:basedOn w:val="Normal"/>
    <w:next w:val="Normal"/>
    <w:autoRedefine/>
    <w:uiPriority w:val="39"/>
    <w:rsid w:val="00FF134F"/>
    <w:pPr>
      <w:tabs>
        <w:tab w:val="right" w:leader="dot" w:pos="9072"/>
      </w:tabs>
      <w:ind w:left="482"/>
    </w:pPr>
    <w:rPr>
      <w:rFonts w:ascii="Arial" w:hAnsi="Arial" w:cs="Arial"/>
      <w:bCs/>
      <w:noProof/>
      <w:sz w:val="22"/>
    </w:rPr>
  </w:style>
  <w:style w:type="character" w:customStyle="1" w:styleId="CharChar1">
    <w:name w:val="Char Char1"/>
    <w:semiHidden/>
    <w:rsid w:val="00FF134F"/>
    <w:rPr>
      <w:lang w:val="en-GB" w:eastAsia="en-GB" w:bidi="ar-SA"/>
    </w:rPr>
  </w:style>
  <w:style w:type="paragraph" w:customStyle="1" w:styleId="QISIndentCharCharChar">
    <w:name w:val="QISIndent Char Char Char"/>
    <w:basedOn w:val="Normal"/>
    <w:rsid w:val="00FF134F"/>
    <w:pPr>
      <w:spacing w:after="240"/>
      <w:ind w:left="1134"/>
      <w:jc w:val="both"/>
    </w:pPr>
    <w:rPr>
      <w:rFonts w:ascii="Verdana" w:eastAsia="MS Mincho" w:hAnsi="Verdana"/>
      <w:sz w:val="22"/>
      <w:szCs w:val="20"/>
      <w:lang w:eastAsia="ja-JP"/>
    </w:rPr>
  </w:style>
  <w:style w:type="paragraph" w:customStyle="1" w:styleId="StyleHeading2Arial14ptBefore12ptAfter3pt">
    <w:name w:val="Style Heading 2 + Arial 14 pt Before:  12 pt After:  3 pt"/>
    <w:basedOn w:val="Heading2"/>
    <w:rsid w:val="00FF134F"/>
    <w:pPr>
      <w:keepLines w:val="0"/>
      <w:spacing w:before="240" w:after="60"/>
    </w:pPr>
    <w:rPr>
      <w:rFonts w:ascii="Arial" w:eastAsia="Times New Roman" w:hAnsi="Arial" w:cs="Times New Roman"/>
      <w:color w:val="auto"/>
      <w:sz w:val="28"/>
      <w:szCs w:val="20"/>
      <w:lang w:val="en-GB" w:eastAsia="en-GB"/>
    </w:rPr>
  </w:style>
  <w:style w:type="paragraph" w:customStyle="1" w:styleId="ListParagraph2">
    <w:name w:val="List Paragraph2"/>
    <w:basedOn w:val="Normal"/>
    <w:uiPriority w:val="34"/>
    <w:qFormat/>
    <w:rsid w:val="00FF134F"/>
    <w:pPr>
      <w:spacing w:after="200" w:line="276" w:lineRule="auto"/>
      <w:ind w:left="720"/>
      <w:contextualSpacing/>
    </w:pPr>
    <w:rPr>
      <w:rFonts w:ascii="Calibri" w:hAnsi="Calibri"/>
      <w:sz w:val="22"/>
      <w:szCs w:val="22"/>
      <w:lang w:val="pt-PT" w:eastAsia="en-US"/>
    </w:rPr>
  </w:style>
  <w:style w:type="paragraph" w:styleId="NormalWeb">
    <w:name w:val="Normal (Web)"/>
    <w:basedOn w:val="Normal"/>
    <w:rsid w:val="00FF134F"/>
  </w:style>
  <w:style w:type="paragraph" w:styleId="NoSpacing">
    <w:name w:val="No Spacing"/>
    <w:uiPriority w:val="1"/>
    <w:qFormat/>
    <w:rsid w:val="00FF134F"/>
    <w:pPr>
      <w:spacing w:after="0" w:line="240" w:lineRule="auto"/>
    </w:pPr>
    <w:rPr>
      <w:lang w:val="pl-PL"/>
    </w:rPr>
  </w:style>
  <w:style w:type="table" w:customStyle="1" w:styleId="Tabela-Siatka1">
    <w:name w:val="Tabela - Siatka1"/>
    <w:basedOn w:val="TableNormal"/>
    <w:next w:val="TableGrid"/>
    <w:uiPriority w:val="59"/>
    <w:rsid w:val="00FF13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rsid w:val="00FF134F"/>
    <w:pPr>
      <w:spacing w:after="120" w:line="480" w:lineRule="auto"/>
      <w:ind w:left="283"/>
    </w:pPr>
  </w:style>
  <w:style w:type="character" w:customStyle="1" w:styleId="BodyTextIndent2Char">
    <w:name w:val="Body Text Indent 2 Char"/>
    <w:basedOn w:val="DefaultParagraphFont"/>
    <w:link w:val="BodyTextIndent2"/>
    <w:uiPriority w:val="99"/>
    <w:rsid w:val="00FF134F"/>
    <w:rPr>
      <w:rFonts w:ascii="Times New Roman" w:eastAsia="Times New Roman" w:hAnsi="Times New Roman" w:cs="Times New Roman"/>
      <w:sz w:val="24"/>
      <w:szCs w:val="24"/>
      <w:lang w:eastAsia="en-GB"/>
    </w:rPr>
  </w:style>
  <w:style w:type="numbering" w:customStyle="1" w:styleId="NoList1">
    <w:name w:val="No List1"/>
    <w:next w:val="NoList"/>
    <w:uiPriority w:val="99"/>
    <w:semiHidden/>
    <w:unhideWhenUsed/>
    <w:rsid w:val="000902FB"/>
  </w:style>
  <w:style w:type="table" w:customStyle="1" w:styleId="TableGrid2">
    <w:name w:val="Table Grid2"/>
    <w:basedOn w:val="TableNormal"/>
    <w:next w:val="TableGrid"/>
    <w:uiPriority w:val="99"/>
    <w:rsid w:val="000902F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01">
    <w:name w:val="EmailStyle401"/>
    <w:semiHidden/>
    <w:rsid w:val="000902FB"/>
    <w:rPr>
      <w:rFonts w:ascii="Arial" w:hAnsi="Arial" w:cs="Arial"/>
      <w:color w:val="auto"/>
      <w:sz w:val="20"/>
      <w:szCs w:val="20"/>
    </w:rPr>
  </w:style>
  <w:style w:type="paragraph" w:customStyle="1" w:styleId="PargrafodaLista1">
    <w:name w:val="Parágrafo da Lista1"/>
    <w:basedOn w:val="Normal"/>
    <w:uiPriority w:val="34"/>
    <w:qFormat/>
    <w:rsid w:val="000902FB"/>
    <w:pPr>
      <w:ind w:left="720"/>
    </w:pPr>
  </w:style>
  <w:style w:type="paragraph" w:customStyle="1" w:styleId="04fBodytextblue">
    <w:name w:val="04f_Body text blue"/>
    <w:basedOn w:val="Normal"/>
    <w:rsid w:val="000902FB"/>
    <w:pPr>
      <w:pBdr>
        <w:bottom w:val="single" w:sz="4" w:space="12" w:color="283583"/>
      </w:pBdr>
      <w:spacing w:after="250" w:line="276" w:lineRule="auto"/>
      <w:jc w:val="both"/>
    </w:pPr>
    <w:rPr>
      <w:rFonts w:ascii="Georgia" w:eastAsia="Calibri" w:hAnsi="Georgia"/>
      <w:color w:val="2D4190"/>
      <w:sz w:val="20"/>
      <w:lang w:eastAsia="de-DE"/>
    </w:rPr>
  </w:style>
  <w:style w:type="paragraph" w:customStyle="1" w:styleId="Datedadoption">
    <w:name w:val="Date d'adoption"/>
    <w:basedOn w:val="Normal"/>
    <w:next w:val="Normal"/>
    <w:rsid w:val="000902FB"/>
    <w:pPr>
      <w:spacing w:before="360"/>
      <w:jc w:val="center"/>
    </w:pPr>
    <w:rPr>
      <w:rFonts w:eastAsia="Calibri"/>
      <w:b/>
      <w:lang w:eastAsia="de-DE"/>
    </w:rPr>
  </w:style>
  <w:style w:type="paragraph" w:customStyle="1" w:styleId="Institutionquiagit">
    <w:name w:val="Institution qui agit"/>
    <w:basedOn w:val="Normal"/>
    <w:next w:val="Normal"/>
    <w:rsid w:val="000902FB"/>
    <w:pPr>
      <w:keepNext/>
      <w:spacing w:before="600" w:after="120"/>
      <w:jc w:val="both"/>
    </w:pPr>
    <w:rPr>
      <w:rFonts w:eastAsia="Calibri"/>
      <w:lang w:eastAsia="de-DE"/>
    </w:rPr>
  </w:style>
  <w:style w:type="paragraph" w:customStyle="1" w:styleId="Typedudocument">
    <w:name w:val="Type du document"/>
    <w:basedOn w:val="Normal"/>
    <w:next w:val="Datedadoption"/>
    <w:rsid w:val="000902FB"/>
    <w:pPr>
      <w:spacing w:before="360"/>
      <w:jc w:val="center"/>
    </w:pPr>
    <w:rPr>
      <w:rFonts w:eastAsia="Calibri"/>
      <w:b/>
      <w:lang w:eastAsia="de-DE"/>
    </w:rPr>
  </w:style>
  <w:style w:type="paragraph" w:customStyle="1" w:styleId="Formuledadoption">
    <w:name w:val="Formule d'adoption"/>
    <w:basedOn w:val="Normal"/>
    <w:next w:val="Normal"/>
    <w:rsid w:val="000902FB"/>
    <w:pPr>
      <w:keepNext/>
      <w:spacing w:before="120" w:after="120"/>
      <w:jc w:val="both"/>
    </w:pPr>
    <w:rPr>
      <w:rFonts w:eastAsia="Calibri"/>
      <w:lang w:eastAsia="de-DE"/>
    </w:rPr>
  </w:style>
  <w:style w:type="paragraph" w:customStyle="1" w:styleId="Applicationdirecte">
    <w:name w:val="Application directe"/>
    <w:basedOn w:val="Normal"/>
    <w:next w:val="Fait"/>
    <w:rsid w:val="000902FB"/>
    <w:pPr>
      <w:spacing w:before="480" w:after="120"/>
      <w:jc w:val="both"/>
    </w:pPr>
    <w:rPr>
      <w:rFonts w:eastAsia="Calibri"/>
      <w:lang w:eastAsia="de-DE"/>
    </w:rPr>
  </w:style>
  <w:style w:type="paragraph" w:customStyle="1" w:styleId="Personnequisigne">
    <w:name w:val="Personne qui signe"/>
    <w:basedOn w:val="Normal"/>
    <w:next w:val="Institutionquisigne"/>
    <w:rsid w:val="000902FB"/>
    <w:pPr>
      <w:tabs>
        <w:tab w:val="left" w:pos="4252"/>
      </w:tabs>
    </w:pPr>
    <w:rPr>
      <w:rFonts w:eastAsia="Calibri"/>
      <w:i/>
      <w:lang w:eastAsia="de-DE"/>
    </w:rPr>
  </w:style>
  <w:style w:type="character" w:styleId="FollowedHyperlink">
    <w:name w:val="FollowedHyperlink"/>
    <w:rsid w:val="000902FB"/>
    <w:rPr>
      <w:color w:val="800080"/>
      <w:u w:val="single"/>
    </w:rPr>
  </w:style>
  <w:style w:type="paragraph" w:customStyle="1" w:styleId="Annexetitre">
    <w:name w:val="Annexe titre"/>
    <w:basedOn w:val="Normal"/>
    <w:next w:val="Normal"/>
    <w:rsid w:val="000902FB"/>
    <w:pPr>
      <w:spacing w:before="120" w:after="120"/>
      <w:jc w:val="center"/>
    </w:pPr>
    <w:rPr>
      <w:rFonts w:eastAsia="Calibri"/>
      <w:b/>
      <w:u w:val="single"/>
      <w:lang w:eastAsia="en-US"/>
    </w:rPr>
  </w:style>
  <w:style w:type="paragraph" w:customStyle="1" w:styleId="AlineasCEIOPS">
    <w:name w:val="Alinea's CEIOPS"/>
    <w:basedOn w:val="Normal"/>
    <w:link w:val="AlineasCEIOPSChar"/>
    <w:rsid w:val="000902FB"/>
    <w:pPr>
      <w:numPr>
        <w:numId w:val="9"/>
      </w:numPr>
      <w:ind w:left="567" w:hanging="567"/>
      <w:jc w:val="both"/>
    </w:pPr>
    <w:rPr>
      <w:rFonts w:ascii="Verdana" w:hAnsi="Verdana"/>
      <w:sz w:val="22"/>
    </w:rPr>
  </w:style>
  <w:style w:type="character" w:customStyle="1" w:styleId="AlineasCEIOPSChar">
    <w:name w:val="Alinea's CEIOPS Char"/>
    <w:link w:val="AlineasCEIOPS"/>
    <w:rsid w:val="000902FB"/>
    <w:rPr>
      <w:rFonts w:ascii="Verdana" w:eastAsia="Times New Roman" w:hAnsi="Verdana" w:cs="Times New Roman"/>
      <w:szCs w:val="24"/>
      <w:lang w:eastAsia="en-GB"/>
    </w:rPr>
  </w:style>
  <w:style w:type="paragraph" w:customStyle="1" w:styleId="Reviso1">
    <w:name w:val="Revisão1"/>
    <w:hidden/>
    <w:uiPriority w:val="99"/>
    <w:semiHidden/>
    <w:rsid w:val="000902FB"/>
    <w:pPr>
      <w:spacing w:after="0" w:line="240" w:lineRule="auto"/>
    </w:pPr>
    <w:rPr>
      <w:rFonts w:ascii="Times New Roman" w:eastAsia="Times New Roman" w:hAnsi="Times New Roman" w:cs="Times New Roman"/>
      <w:sz w:val="24"/>
      <w:szCs w:val="24"/>
      <w:lang w:eastAsia="en-GB"/>
    </w:rPr>
  </w:style>
  <w:style w:type="paragraph" w:customStyle="1" w:styleId="Point2">
    <w:name w:val="Point 2"/>
    <w:basedOn w:val="Normal"/>
    <w:rsid w:val="000902FB"/>
    <w:pPr>
      <w:spacing w:before="120" w:after="120"/>
      <w:ind w:left="1984" w:hanging="567"/>
      <w:jc w:val="both"/>
    </w:pPr>
    <w:rPr>
      <w:lang w:eastAsia="de-DE"/>
    </w:rPr>
  </w:style>
  <w:style w:type="paragraph" w:customStyle="1" w:styleId="Point3">
    <w:name w:val="Point 3"/>
    <w:basedOn w:val="Normal"/>
    <w:rsid w:val="000902FB"/>
    <w:pPr>
      <w:spacing w:before="120" w:after="120"/>
      <w:ind w:left="2551" w:hanging="567"/>
      <w:jc w:val="both"/>
    </w:pPr>
    <w:rPr>
      <w:lang w:eastAsia="de-DE"/>
    </w:rPr>
  </w:style>
  <w:style w:type="paragraph" w:customStyle="1" w:styleId="ContinuousSquareBullet">
    <w:name w:val="Continuous Square Bullet"/>
    <w:basedOn w:val="Normal"/>
    <w:uiPriority w:val="99"/>
    <w:rsid w:val="000902FB"/>
    <w:pPr>
      <w:numPr>
        <w:numId w:val="10"/>
      </w:numPr>
      <w:spacing w:after="280" w:line="280" w:lineRule="exact"/>
    </w:pPr>
    <w:rPr>
      <w:rFonts w:ascii="Arial" w:hAnsi="Arial" w:cs="Arial"/>
      <w:sz w:val="23"/>
      <w:szCs w:val="23"/>
      <w:lang w:eastAsia="en-US"/>
    </w:rPr>
  </w:style>
  <w:style w:type="paragraph" w:customStyle="1" w:styleId="EP-ReferenznummerVerdana10pRegular">
    <w:name w:val="EP-Referenznummer Verdana 10p Regular"/>
    <w:basedOn w:val="Normal"/>
    <w:qFormat/>
    <w:rsid w:val="000902FB"/>
    <w:pPr>
      <w:spacing w:after="2840"/>
      <w:jc w:val="right"/>
    </w:pPr>
    <w:rPr>
      <w:rFonts w:ascii="Verdana" w:eastAsia="MS Mincho" w:hAnsi="Verdana"/>
      <w:sz w:val="20"/>
      <w:szCs w:val="22"/>
      <w:lang w:val="de-DE" w:eastAsia="de-DE"/>
    </w:rPr>
  </w:style>
  <w:style w:type="paragraph" w:customStyle="1" w:styleId="Adviceonect24p">
    <w:name w:val="Advice on... ect. 24p"/>
    <w:basedOn w:val="Normal"/>
    <w:next w:val="Normal"/>
    <w:qFormat/>
    <w:rsid w:val="000902FB"/>
    <w:pPr>
      <w:pBdr>
        <w:top w:val="single" w:sz="4" w:space="25" w:color="D0E7F6"/>
        <w:left w:val="single" w:sz="4" w:space="8" w:color="D0E7F6"/>
        <w:bottom w:val="single" w:sz="4" w:space="30" w:color="D0E7F6"/>
        <w:right w:val="single" w:sz="4" w:space="8" w:color="D0E7F6"/>
      </w:pBdr>
      <w:shd w:val="clear" w:color="auto" w:fill="D0E7F6"/>
      <w:ind w:left="170" w:right="170"/>
      <w:jc w:val="center"/>
    </w:pPr>
    <w:rPr>
      <w:rFonts w:ascii="Verdana" w:eastAsia="MS Mincho" w:hAnsi="Verdana"/>
      <w:b/>
      <w:bCs/>
      <w:sz w:val="48"/>
      <w:szCs w:val="48"/>
      <w:lang w:val="de-DE" w:eastAsia="de-DE"/>
    </w:rPr>
  </w:style>
  <w:style w:type="paragraph" w:customStyle="1" w:styleId="Subjectxxx24p">
    <w:name w:val="Subject xxx 24p"/>
    <w:basedOn w:val="Normal"/>
    <w:next w:val="Normal"/>
    <w:qFormat/>
    <w:rsid w:val="000902FB"/>
    <w:pPr>
      <w:pBdr>
        <w:top w:val="single" w:sz="4" w:space="8" w:color="D0E7F6"/>
        <w:left w:val="single" w:sz="4" w:space="8" w:color="D0E7F6"/>
        <w:bottom w:val="single" w:sz="4" w:space="8" w:color="D0E7F6"/>
        <w:right w:val="single" w:sz="4" w:space="8" w:color="D0E7F6"/>
      </w:pBdr>
      <w:shd w:val="clear" w:color="auto" w:fill="D0E7F6"/>
      <w:ind w:left="170" w:right="170"/>
      <w:jc w:val="center"/>
    </w:pPr>
    <w:rPr>
      <w:rFonts w:ascii="Verdana" w:eastAsia="MS Mincho" w:hAnsi="Verdana"/>
      <w:b/>
      <w:bCs/>
      <w:sz w:val="48"/>
      <w:szCs w:val="48"/>
      <w:lang w:val="de-DE" w:eastAsia="de-DE"/>
    </w:rPr>
  </w:style>
  <w:style w:type="paragraph" w:customStyle="1" w:styleId="Pagedecouverture">
    <w:name w:val="Page de couverture"/>
    <w:basedOn w:val="Normal"/>
    <w:next w:val="Normal"/>
    <w:rsid w:val="000902FB"/>
    <w:pPr>
      <w:spacing w:before="120" w:after="120"/>
      <w:jc w:val="both"/>
    </w:pPr>
    <w:rPr>
      <w:lang w:eastAsia="en-US"/>
    </w:rPr>
  </w:style>
  <w:style w:type="paragraph" w:customStyle="1" w:styleId="PlainText1">
    <w:name w:val="Plain Text1"/>
    <w:basedOn w:val="Normal"/>
    <w:next w:val="PlainText"/>
    <w:link w:val="PlainTextChar"/>
    <w:uiPriority w:val="99"/>
    <w:semiHidden/>
    <w:unhideWhenUsed/>
    <w:rsid w:val="000902FB"/>
    <w:rPr>
      <w:rFonts w:ascii="Calibri" w:eastAsia="Calibri" w:hAnsi="Calibri" w:cs="Calibri"/>
      <w:sz w:val="22"/>
      <w:szCs w:val="22"/>
    </w:rPr>
  </w:style>
  <w:style w:type="character" w:customStyle="1" w:styleId="PlainTextChar">
    <w:name w:val="Plain Text Char"/>
    <w:basedOn w:val="DefaultParagraphFont"/>
    <w:link w:val="PlainText1"/>
    <w:uiPriority w:val="99"/>
    <w:semiHidden/>
    <w:rsid w:val="000902FB"/>
    <w:rPr>
      <w:rFonts w:ascii="Calibri" w:eastAsia="Calibri" w:hAnsi="Calibri" w:cs="Calibri"/>
      <w:sz w:val="22"/>
      <w:szCs w:val="22"/>
      <w:lang w:val="en-GB" w:eastAsia="en-GB"/>
    </w:rPr>
  </w:style>
  <w:style w:type="paragraph" w:customStyle="1" w:styleId="Considrant">
    <w:name w:val="Considérant"/>
    <w:basedOn w:val="Normal"/>
    <w:rsid w:val="000902FB"/>
    <w:pPr>
      <w:numPr>
        <w:numId w:val="11"/>
      </w:numPr>
      <w:spacing w:before="120" w:after="120"/>
      <w:jc w:val="both"/>
    </w:pPr>
    <w:rPr>
      <w:lang w:eastAsia="en-US"/>
    </w:rPr>
  </w:style>
  <w:style w:type="numbering" w:customStyle="1" w:styleId="Style11">
    <w:name w:val="Style11"/>
    <w:basedOn w:val="NoList"/>
    <w:uiPriority w:val="99"/>
    <w:rsid w:val="000902FB"/>
  </w:style>
  <w:style w:type="paragraph" w:customStyle="1" w:styleId="ListParagraph1">
    <w:name w:val="List Paragraph1"/>
    <w:basedOn w:val="Normal"/>
    <w:qFormat/>
    <w:rsid w:val="000902FB"/>
    <w:pPr>
      <w:ind w:left="720"/>
    </w:pPr>
    <w:rPr>
      <w:rFonts w:eastAsia="Calibri"/>
    </w:rPr>
  </w:style>
  <w:style w:type="paragraph" w:customStyle="1" w:styleId="Listeafsnit1">
    <w:name w:val="Listeafsnit1"/>
    <w:basedOn w:val="Normal"/>
    <w:rsid w:val="000902FB"/>
    <w:pPr>
      <w:ind w:left="720"/>
      <w:jc w:val="both"/>
    </w:pPr>
    <w:rPr>
      <w:rFonts w:eastAsia="Calibri"/>
      <w:sz w:val="22"/>
      <w:szCs w:val="20"/>
      <w:lang w:val="fr-FR" w:eastAsia="fr-FR"/>
    </w:rPr>
  </w:style>
  <w:style w:type="character" w:customStyle="1" w:styleId="FootnoteCharacters">
    <w:name w:val="Footnote Characters"/>
    <w:rsid w:val="000902FB"/>
    <w:rPr>
      <w:vertAlign w:val="superscript"/>
    </w:rPr>
  </w:style>
  <w:style w:type="paragraph" w:customStyle="1" w:styleId="ManualConsidrant">
    <w:name w:val="Manual Considérant"/>
    <w:basedOn w:val="Normal"/>
    <w:rsid w:val="000902FB"/>
    <w:pPr>
      <w:spacing w:before="120" w:after="120"/>
      <w:ind w:left="709" w:hanging="709"/>
      <w:jc w:val="both"/>
    </w:pPr>
    <w:rPr>
      <w:lang w:eastAsia="de-DE"/>
    </w:rPr>
  </w:style>
  <w:style w:type="paragraph" w:styleId="DocumentMap">
    <w:name w:val="Document Map"/>
    <w:basedOn w:val="Normal"/>
    <w:link w:val="DocumentMapChar"/>
    <w:rsid w:val="000902FB"/>
    <w:rPr>
      <w:rFonts w:ascii="Tahoma" w:eastAsia="Calibri" w:hAnsi="Tahoma" w:cs="Tahoma"/>
      <w:sz w:val="16"/>
      <w:szCs w:val="16"/>
    </w:rPr>
  </w:style>
  <w:style w:type="character" w:customStyle="1" w:styleId="DocumentMapChar">
    <w:name w:val="Document Map Char"/>
    <w:basedOn w:val="DefaultParagraphFont"/>
    <w:link w:val="DocumentMap"/>
    <w:rsid w:val="000902FB"/>
    <w:rPr>
      <w:rFonts w:ascii="Tahoma" w:eastAsia="Calibri" w:hAnsi="Tahoma" w:cs="Tahoma"/>
      <w:sz w:val="16"/>
      <w:szCs w:val="16"/>
      <w:lang w:eastAsia="en-GB"/>
    </w:rPr>
  </w:style>
  <w:style w:type="paragraph" w:styleId="PlainText">
    <w:name w:val="Plain Text"/>
    <w:basedOn w:val="Normal"/>
    <w:link w:val="PlainTextChar1"/>
    <w:uiPriority w:val="99"/>
    <w:semiHidden/>
    <w:unhideWhenUsed/>
    <w:rsid w:val="000902FB"/>
    <w:rPr>
      <w:rFonts w:ascii="Consolas" w:eastAsia="Calibri" w:hAnsi="Consolas"/>
      <w:sz w:val="21"/>
      <w:szCs w:val="21"/>
      <w:lang w:val="pt-PT" w:eastAsia="en-US"/>
    </w:rPr>
  </w:style>
  <w:style w:type="character" w:customStyle="1" w:styleId="PlainTextChar1">
    <w:name w:val="Plain Text Char1"/>
    <w:basedOn w:val="DefaultParagraphFont"/>
    <w:link w:val="PlainText"/>
    <w:uiPriority w:val="99"/>
    <w:semiHidden/>
    <w:rsid w:val="000902FB"/>
    <w:rPr>
      <w:rFonts w:ascii="Consolas" w:eastAsia="Calibri" w:hAnsi="Consolas" w:cs="Times New Roman"/>
      <w:sz w:val="21"/>
      <w:szCs w:val="21"/>
      <w:lang w:val="pt-PT"/>
    </w:rPr>
  </w:style>
  <w:style w:type="numbering" w:customStyle="1" w:styleId="NoList2">
    <w:name w:val="No List2"/>
    <w:next w:val="NoList"/>
    <w:uiPriority w:val="99"/>
    <w:semiHidden/>
    <w:unhideWhenUsed/>
    <w:rsid w:val="000902FB"/>
  </w:style>
  <w:style w:type="table" w:customStyle="1" w:styleId="TableGrid3">
    <w:name w:val="Table Grid3"/>
    <w:basedOn w:val="TableNormal"/>
    <w:next w:val="TableGrid"/>
    <w:rsid w:val="000902F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basedOn w:val="NoList"/>
    <w:uiPriority w:val="99"/>
    <w:rsid w:val="000902FB"/>
    <w:pPr>
      <w:numPr>
        <w:numId w:val="19"/>
      </w:numPr>
    </w:pPr>
  </w:style>
  <w:style w:type="numbering" w:customStyle="1" w:styleId="NoList3">
    <w:name w:val="No List3"/>
    <w:next w:val="NoList"/>
    <w:uiPriority w:val="99"/>
    <w:semiHidden/>
    <w:unhideWhenUsed/>
    <w:rsid w:val="00A86315"/>
  </w:style>
  <w:style w:type="table" w:customStyle="1" w:styleId="TableGrid4">
    <w:name w:val="Table Grid4"/>
    <w:basedOn w:val="TableNormal"/>
    <w:next w:val="TableGrid"/>
    <w:rsid w:val="00A8631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3">
    <w:name w:val="Style13"/>
    <w:basedOn w:val="NoList"/>
    <w:uiPriority w:val="99"/>
    <w:rsid w:val="00A86315"/>
  </w:style>
  <w:style w:type="numbering" w:customStyle="1" w:styleId="NoList4">
    <w:name w:val="No List4"/>
    <w:next w:val="NoList"/>
    <w:uiPriority w:val="99"/>
    <w:semiHidden/>
    <w:unhideWhenUsed/>
    <w:rsid w:val="001A4529"/>
  </w:style>
  <w:style w:type="table" w:customStyle="1" w:styleId="TableGrid5">
    <w:name w:val="Table Grid5"/>
    <w:basedOn w:val="TableNormal"/>
    <w:next w:val="TableGrid"/>
    <w:rsid w:val="001A452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4">
    <w:name w:val="Style14"/>
    <w:basedOn w:val="NoList"/>
    <w:uiPriority w:val="99"/>
    <w:rsid w:val="001A4529"/>
  </w:style>
  <w:style w:type="numbering" w:customStyle="1" w:styleId="NoList5">
    <w:name w:val="No List5"/>
    <w:next w:val="NoList"/>
    <w:uiPriority w:val="99"/>
    <w:semiHidden/>
    <w:unhideWhenUsed/>
    <w:rsid w:val="000D3CFF"/>
  </w:style>
  <w:style w:type="table" w:customStyle="1" w:styleId="TableGrid6">
    <w:name w:val="Table Grid6"/>
    <w:basedOn w:val="TableNormal"/>
    <w:next w:val="TableGrid"/>
    <w:rsid w:val="000D3CF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5">
    <w:name w:val="Style15"/>
    <w:basedOn w:val="NoList"/>
    <w:uiPriority w:val="99"/>
    <w:rsid w:val="000D3CFF"/>
  </w:style>
  <w:style w:type="paragraph" w:styleId="Title">
    <w:name w:val="Title"/>
    <w:aliases w:val="Document Title,Title Cover"/>
    <w:basedOn w:val="Normal"/>
    <w:link w:val="TitleChar"/>
    <w:uiPriority w:val="10"/>
    <w:qFormat/>
    <w:rsid w:val="006C1A1F"/>
    <w:pPr>
      <w:spacing w:line="360" w:lineRule="auto"/>
      <w:jc w:val="center"/>
    </w:pPr>
    <w:rPr>
      <w:b/>
      <w:bCs/>
      <w:sz w:val="28"/>
      <w:szCs w:val="20"/>
      <w:u w:val="single"/>
      <w:lang w:val="en-IE" w:eastAsia="en-US"/>
    </w:rPr>
  </w:style>
  <w:style w:type="character" w:customStyle="1" w:styleId="TitleChar">
    <w:name w:val="Title Char"/>
    <w:aliases w:val="Document Title Char,Title Cover Char"/>
    <w:basedOn w:val="DefaultParagraphFont"/>
    <w:link w:val="Title"/>
    <w:uiPriority w:val="10"/>
    <w:rsid w:val="006C1A1F"/>
    <w:rPr>
      <w:rFonts w:ascii="Times New Roman" w:eastAsia="Times New Roman" w:hAnsi="Times New Roman" w:cs="Times New Roman"/>
      <w:b/>
      <w:bCs/>
      <w:sz w:val="28"/>
      <w:szCs w:val="20"/>
      <w:u w:val="single"/>
      <w:lang w:val="en-IE"/>
    </w:rPr>
  </w:style>
  <w:style w:type="paragraph" w:customStyle="1" w:styleId="ReferenceNumber">
    <w:name w:val="Reference Number"/>
    <w:basedOn w:val="Normal"/>
    <w:qFormat/>
    <w:rsid w:val="0003733C"/>
    <w:pPr>
      <w:tabs>
        <w:tab w:val="left" w:pos="1480"/>
      </w:tabs>
      <w:jc w:val="right"/>
    </w:pPr>
    <w:rPr>
      <w:rFonts w:ascii="Verdana" w:eastAsiaTheme="minorHAnsi" w:hAnsi="Verdana" w:cstheme="minorBidi"/>
      <w:sz w:val="20"/>
      <w:szCs w:val="20"/>
      <w:lang w:eastAsia="en-US"/>
    </w:rPr>
  </w:style>
  <w:style w:type="paragraph" w:customStyle="1" w:styleId="DocumentSubtitle">
    <w:name w:val="Document Subtitle"/>
    <w:basedOn w:val="Heading1"/>
    <w:qFormat/>
    <w:rsid w:val="0003733C"/>
    <w:pPr>
      <w:spacing w:before="240" w:after="60"/>
      <w:jc w:val="center"/>
    </w:pPr>
    <w:rPr>
      <w:rFonts w:ascii="Verdana" w:hAnsi="Verdana"/>
      <w:color w:val="auto"/>
      <w:lang w:val="en-GB"/>
    </w:rPr>
  </w:style>
  <w:style w:type="character" w:customStyle="1" w:styleId="Style10">
    <w:name w:val="Style10"/>
    <w:basedOn w:val="DefaultParagraphFont"/>
    <w:uiPriority w:val="1"/>
    <w:rsid w:val="0003733C"/>
    <w:rPr>
      <w:color w:val="FF0000"/>
    </w:rPr>
  </w:style>
  <w:style w:type="paragraph" w:customStyle="1" w:styleId="ConsultationItalic">
    <w:name w:val="Consultation Italic"/>
    <w:basedOn w:val="Normal"/>
    <w:rsid w:val="0003733C"/>
    <w:pPr>
      <w:numPr>
        <w:numId w:val="26"/>
      </w:numPr>
      <w:spacing w:after="120" w:line="276" w:lineRule="auto"/>
    </w:pPr>
    <w:rPr>
      <w:i/>
      <w:noProof/>
      <w:lang w:eastAsia="de-DE"/>
    </w:rPr>
  </w:style>
  <w:style w:type="paragraph" w:customStyle="1" w:styleId="Numberedparagraph">
    <w:name w:val="Numbered paragraph"/>
    <w:rsid w:val="007A75B6"/>
    <w:pPr>
      <w:numPr>
        <w:numId w:val="32"/>
      </w:numPr>
      <w:spacing w:after="240" w:line="280" w:lineRule="atLeast"/>
      <w:jc w:val="both"/>
    </w:pPr>
    <w:rPr>
      <w:rFonts w:ascii="Arial" w:eastAsia="Times New Roman" w:hAnsi="Arial" w:cs="Times New Roman"/>
      <w:szCs w:val="20"/>
    </w:rPr>
  </w:style>
  <w:style w:type="character" w:customStyle="1" w:styleId="super">
    <w:name w:val="super"/>
    <w:basedOn w:val="DefaultParagraphFont"/>
    <w:rsid w:val="00953548"/>
  </w:style>
  <w:style w:type="character" w:customStyle="1" w:styleId="apple-converted-space">
    <w:name w:val="apple-converted-space"/>
    <w:basedOn w:val="DefaultParagraphFont"/>
    <w:rsid w:val="00953548"/>
  </w:style>
  <w:style w:type="paragraph" w:customStyle="1" w:styleId="xl16824">
    <w:name w:val="xl16824"/>
    <w:basedOn w:val="Normal"/>
    <w:rsid w:val="004769D4"/>
    <w:pPr>
      <w:shd w:val="clear" w:color="000000" w:fill="FFFFFF"/>
      <w:spacing w:before="100" w:beforeAutospacing="1" w:after="100" w:afterAutospacing="1"/>
      <w:textAlignment w:val="center"/>
    </w:pPr>
    <w:rPr>
      <w:rFonts w:ascii="Verdana" w:hAnsi="Verdana"/>
      <w:b/>
      <w:bCs/>
    </w:rPr>
  </w:style>
  <w:style w:type="character" w:customStyle="1" w:styleId="Marker">
    <w:name w:val="Marker"/>
    <w:basedOn w:val="DefaultParagraphFont"/>
    <w:rsid w:val="00B922FE"/>
    <w:rPr>
      <w:color w:val="0000FF"/>
      <w:shd w:val="clear" w:color="auto" w:fill="auto"/>
    </w:rPr>
  </w:style>
  <w:style w:type="paragraph" w:customStyle="1" w:styleId="FooterCoverPage">
    <w:name w:val="Footer Cover Page"/>
    <w:basedOn w:val="Normal"/>
    <w:link w:val="FooterCoverPageChar"/>
    <w:rsid w:val="00B922FE"/>
    <w:pPr>
      <w:tabs>
        <w:tab w:val="center" w:pos="4535"/>
        <w:tab w:val="right" w:pos="9071"/>
        <w:tab w:val="right" w:pos="9921"/>
      </w:tabs>
      <w:spacing w:before="360"/>
      <w:ind w:left="-850" w:right="-850"/>
    </w:pPr>
    <w:rPr>
      <w:noProof/>
      <w:color w:val="000000"/>
      <w:lang w:eastAsia="en-US"/>
    </w:rPr>
  </w:style>
  <w:style w:type="character" w:customStyle="1" w:styleId="FooterCoverPageChar">
    <w:name w:val="Footer Cover Page Char"/>
    <w:basedOn w:val="DefaultParagraphFont"/>
    <w:link w:val="FooterCoverPage"/>
    <w:rsid w:val="00B922FE"/>
    <w:rPr>
      <w:rFonts w:ascii="Times New Roman" w:eastAsia="Times New Roman" w:hAnsi="Times New Roman" w:cs="Times New Roman"/>
      <w:noProof/>
      <w:color w:val="000000"/>
      <w:sz w:val="24"/>
      <w:szCs w:val="24"/>
    </w:rPr>
  </w:style>
  <w:style w:type="paragraph" w:customStyle="1" w:styleId="HeaderCoverPage">
    <w:name w:val="Header Cover Page"/>
    <w:basedOn w:val="Normal"/>
    <w:link w:val="HeaderCoverPageChar"/>
    <w:rsid w:val="00B922FE"/>
    <w:pPr>
      <w:tabs>
        <w:tab w:val="center" w:pos="4535"/>
        <w:tab w:val="right" w:pos="9071"/>
      </w:tabs>
      <w:spacing w:after="120"/>
      <w:jc w:val="both"/>
    </w:pPr>
    <w:rPr>
      <w:noProof/>
      <w:color w:val="000000"/>
      <w:lang w:eastAsia="en-US"/>
    </w:rPr>
  </w:style>
  <w:style w:type="character" w:customStyle="1" w:styleId="HeaderCoverPageChar">
    <w:name w:val="Header Cover Page Char"/>
    <w:basedOn w:val="DefaultParagraphFont"/>
    <w:link w:val="HeaderCoverPage"/>
    <w:rsid w:val="00B922FE"/>
    <w:rPr>
      <w:rFonts w:ascii="Times New Roman" w:eastAsia="Times New Roman" w:hAnsi="Times New Roman" w:cs="Times New Roman"/>
      <w:noProof/>
      <w:color w:val="000000"/>
      <w:sz w:val="24"/>
      <w:szCs w:val="24"/>
    </w:rPr>
  </w:style>
  <w:style w:type="paragraph" w:customStyle="1" w:styleId="ti-art">
    <w:name w:val="ti-art"/>
    <w:basedOn w:val="Normal"/>
    <w:rsid w:val="00182971"/>
    <w:pPr>
      <w:spacing w:before="100" w:beforeAutospacing="1" w:after="100" w:afterAutospacing="1"/>
    </w:pPr>
  </w:style>
  <w:style w:type="paragraph" w:customStyle="1" w:styleId="sti-art">
    <w:name w:val="sti-art"/>
    <w:basedOn w:val="Normal"/>
    <w:rsid w:val="00182971"/>
    <w:pPr>
      <w:spacing w:before="100" w:beforeAutospacing="1" w:after="100" w:afterAutospacing="1"/>
    </w:pPr>
  </w:style>
  <w:style w:type="paragraph" w:customStyle="1" w:styleId="Normal1">
    <w:name w:val="Normal1"/>
    <w:basedOn w:val="Normal"/>
    <w:rsid w:val="00182971"/>
    <w:pPr>
      <w:spacing w:before="100" w:beforeAutospacing="1" w:after="100" w:afterAutospacing="1"/>
    </w:pPr>
  </w:style>
  <w:style w:type="character" w:customStyle="1" w:styleId="italic">
    <w:name w:val="italic"/>
    <w:basedOn w:val="DefaultParagraphFont"/>
    <w:rsid w:val="00182971"/>
  </w:style>
  <w:style w:type="paragraph" w:customStyle="1" w:styleId="signatory">
    <w:name w:val="signatory"/>
    <w:basedOn w:val="Normal"/>
    <w:rsid w:val="00182971"/>
    <w:pPr>
      <w:spacing w:before="100" w:beforeAutospacing="1" w:after="100" w:afterAutospacing="1"/>
    </w:pPr>
  </w:style>
  <w:style w:type="paragraph" w:customStyle="1" w:styleId="Standard1">
    <w:name w:val="Standard1"/>
    <w:basedOn w:val="Normal"/>
    <w:rsid w:val="00E91661"/>
    <w:pPr>
      <w:spacing w:before="100" w:beforeAutospacing="1" w:after="100" w:afterAutospacing="1"/>
    </w:pPr>
  </w:style>
  <w:style w:type="paragraph" w:customStyle="1" w:styleId="Normale1">
    <w:name w:val="Normale1"/>
    <w:basedOn w:val="Normal"/>
    <w:rsid w:val="00530FB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893"/>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BE62E0"/>
    <w:pPr>
      <w:keepNext/>
      <w:keepLines/>
      <w:spacing w:before="480"/>
      <w:outlineLvl w:val="0"/>
    </w:pPr>
    <w:rPr>
      <w:rFonts w:asciiTheme="majorHAnsi" w:eastAsiaTheme="majorEastAsia" w:hAnsiTheme="majorHAnsi" w:cstheme="majorBidi"/>
      <w:b/>
      <w:bCs/>
      <w:color w:val="365F91" w:themeColor="accent1" w:themeShade="BF"/>
      <w:sz w:val="28"/>
      <w:szCs w:val="28"/>
      <w:lang w:val="pt-PT" w:eastAsia="en-US"/>
    </w:rPr>
  </w:style>
  <w:style w:type="paragraph" w:styleId="Heading2">
    <w:name w:val="heading 2"/>
    <w:basedOn w:val="Normal"/>
    <w:next w:val="Normal"/>
    <w:link w:val="Heading2Char"/>
    <w:uiPriority w:val="9"/>
    <w:unhideWhenUsed/>
    <w:qFormat/>
    <w:rsid w:val="00037FF8"/>
    <w:pPr>
      <w:keepNext/>
      <w:keepLines/>
      <w:spacing w:before="200"/>
      <w:outlineLvl w:val="1"/>
    </w:pPr>
    <w:rPr>
      <w:rFonts w:asciiTheme="majorHAnsi" w:eastAsiaTheme="majorEastAsia" w:hAnsiTheme="majorHAnsi" w:cstheme="majorBidi"/>
      <w:b/>
      <w:bCs/>
      <w:color w:val="4F81BD" w:themeColor="accent1"/>
      <w:sz w:val="26"/>
      <w:szCs w:val="26"/>
      <w:lang w:val="pt-PT" w:eastAsia="en-US"/>
    </w:rPr>
  </w:style>
  <w:style w:type="paragraph" w:styleId="Heading3">
    <w:name w:val="heading 3"/>
    <w:basedOn w:val="Normal"/>
    <w:next w:val="Normal"/>
    <w:link w:val="Heading3Char"/>
    <w:uiPriority w:val="9"/>
    <w:qFormat/>
    <w:rsid w:val="00FF134F"/>
    <w:pPr>
      <w:keepNext/>
      <w:ind w:left="180"/>
      <w:jc w:val="both"/>
      <w:outlineLvl w:val="2"/>
    </w:pPr>
    <w:rPr>
      <w:u w:val="single"/>
    </w:rPr>
  </w:style>
  <w:style w:type="paragraph" w:styleId="Heading4">
    <w:name w:val="heading 4"/>
    <w:basedOn w:val="Normal"/>
    <w:next w:val="Normal"/>
    <w:link w:val="Heading4Char"/>
    <w:uiPriority w:val="9"/>
    <w:qFormat/>
    <w:rsid w:val="00FF134F"/>
    <w:pPr>
      <w:keepNext/>
      <w:jc w:val="both"/>
      <w:outlineLvl w:val="3"/>
    </w:pPr>
    <w:rPr>
      <w:u w:val="single"/>
    </w:rPr>
  </w:style>
  <w:style w:type="paragraph" w:styleId="Heading5">
    <w:name w:val="heading 5"/>
    <w:basedOn w:val="Normal"/>
    <w:next w:val="Normal"/>
    <w:link w:val="Heading5Char"/>
    <w:qFormat/>
    <w:rsid w:val="00FF134F"/>
    <w:pPr>
      <w:keepNext/>
      <w:jc w:val="both"/>
      <w:outlineLvl w:val="4"/>
    </w:pPr>
    <w:rPr>
      <w:b/>
      <w:bCs/>
    </w:rPr>
  </w:style>
  <w:style w:type="paragraph" w:styleId="Heading6">
    <w:name w:val="heading 6"/>
    <w:basedOn w:val="Normal"/>
    <w:next w:val="Normal"/>
    <w:link w:val="Heading6Char"/>
    <w:qFormat/>
    <w:rsid w:val="00FF134F"/>
    <w:pPr>
      <w:keepNext/>
      <w:ind w:left="18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20FD"/>
    <w:rPr>
      <w:rFonts w:ascii="Tahoma" w:eastAsia="Calibri" w:hAnsi="Tahoma" w:cs="Tahoma"/>
      <w:sz w:val="16"/>
      <w:szCs w:val="16"/>
      <w:lang w:val="pt-PT" w:eastAsia="en-US"/>
    </w:rPr>
  </w:style>
  <w:style w:type="character" w:customStyle="1" w:styleId="BalloonTextChar">
    <w:name w:val="Balloon Text Char"/>
    <w:basedOn w:val="DefaultParagraphFont"/>
    <w:link w:val="BalloonText"/>
    <w:uiPriority w:val="99"/>
    <w:semiHidden/>
    <w:rsid w:val="001320FD"/>
    <w:rPr>
      <w:rFonts w:ascii="Tahoma" w:eastAsia="Calibri" w:hAnsi="Tahoma" w:cs="Tahoma"/>
      <w:sz w:val="16"/>
      <w:szCs w:val="16"/>
      <w:lang w:val="pt-PT"/>
    </w:rPr>
  </w:style>
  <w:style w:type="paragraph" w:styleId="Header">
    <w:name w:val="header"/>
    <w:basedOn w:val="Normal"/>
    <w:link w:val="HeaderChar"/>
    <w:uiPriority w:val="99"/>
    <w:unhideWhenUsed/>
    <w:rsid w:val="001320FD"/>
    <w:pPr>
      <w:tabs>
        <w:tab w:val="center" w:pos="4513"/>
        <w:tab w:val="right" w:pos="9026"/>
      </w:tabs>
    </w:pPr>
    <w:rPr>
      <w:rFonts w:ascii="Verdana" w:eastAsia="Calibri" w:hAnsi="Verdana"/>
      <w:sz w:val="22"/>
      <w:lang w:val="pt-PT" w:eastAsia="en-US"/>
    </w:rPr>
  </w:style>
  <w:style w:type="character" w:customStyle="1" w:styleId="HeaderChar">
    <w:name w:val="Header Char"/>
    <w:basedOn w:val="DefaultParagraphFont"/>
    <w:link w:val="Header"/>
    <w:uiPriority w:val="99"/>
    <w:rsid w:val="001320FD"/>
    <w:rPr>
      <w:rFonts w:ascii="Verdana" w:eastAsia="Calibri" w:hAnsi="Verdana" w:cs="Times New Roman"/>
      <w:szCs w:val="24"/>
      <w:lang w:val="pt-PT"/>
    </w:rPr>
  </w:style>
  <w:style w:type="paragraph" w:styleId="Footer">
    <w:name w:val="footer"/>
    <w:aliases w:val="Fußzeile Verdana 8p Regular,Mittelachse"/>
    <w:basedOn w:val="Normal"/>
    <w:link w:val="FooterChar"/>
    <w:uiPriority w:val="99"/>
    <w:unhideWhenUsed/>
    <w:qFormat/>
    <w:rsid w:val="001320FD"/>
    <w:pPr>
      <w:tabs>
        <w:tab w:val="center" w:pos="4513"/>
        <w:tab w:val="right" w:pos="9026"/>
      </w:tabs>
    </w:pPr>
    <w:rPr>
      <w:rFonts w:ascii="Verdana" w:eastAsia="Calibri" w:hAnsi="Verdana"/>
      <w:sz w:val="22"/>
      <w:lang w:val="pt-PT" w:eastAsia="en-US"/>
    </w:rPr>
  </w:style>
  <w:style w:type="character" w:customStyle="1" w:styleId="FooterChar">
    <w:name w:val="Footer Char"/>
    <w:aliases w:val="Fußzeile Verdana 8p Regular Char,Mittelachse Char"/>
    <w:basedOn w:val="DefaultParagraphFont"/>
    <w:link w:val="Footer"/>
    <w:uiPriority w:val="99"/>
    <w:rsid w:val="001320FD"/>
    <w:rPr>
      <w:rFonts w:ascii="Verdana" w:eastAsia="Calibri" w:hAnsi="Verdana" w:cs="Times New Roman"/>
      <w:szCs w:val="24"/>
      <w:lang w:val="pt-PT"/>
    </w:rPr>
  </w:style>
  <w:style w:type="character" w:styleId="Hyperlink">
    <w:name w:val="Hyperlink"/>
    <w:uiPriority w:val="99"/>
    <w:rsid w:val="001320FD"/>
    <w:rPr>
      <w:rFonts w:cs="Times New Roman"/>
      <w:b/>
      <w:bCs/>
      <w:color w:val="0000FF"/>
      <w:u w:val="single"/>
    </w:rPr>
  </w:style>
  <w:style w:type="character" w:styleId="CommentReference">
    <w:name w:val="annotation reference"/>
    <w:uiPriority w:val="99"/>
    <w:rsid w:val="00784632"/>
    <w:rPr>
      <w:rFonts w:cs="Times New Roman"/>
      <w:sz w:val="16"/>
      <w:szCs w:val="16"/>
    </w:rPr>
  </w:style>
  <w:style w:type="paragraph" w:styleId="CommentText">
    <w:name w:val="annotation text"/>
    <w:basedOn w:val="Normal"/>
    <w:link w:val="CommentTextChar"/>
    <w:uiPriority w:val="99"/>
    <w:rsid w:val="00784632"/>
    <w:pPr>
      <w:spacing w:before="120" w:after="120"/>
      <w:ind w:left="1066" w:hanging="357"/>
      <w:jc w:val="both"/>
    </w:pPr>
    <w:rPr>
      <w:rFonts w:ascii="Verdana" w:eastAsia="Calibri" w:hAnsi="Verdana"/>
      <w:sz w:val="20"/>
      <w:szCs w:val="20"/>
      <w:lang w:eastAsia="pt-PT"/>
    </w:rPr>
  </w:style>
  <w:style w:type="character" w:customStyle="1" w:styleId="CommentTextChar">
    <w:name w:val="Comment Text Char"/>
    <w:basedOn w:val="DefaultParagraphFont"/>
    <w:link w:val="CommentText"/>
    <w:uiPriority w:val="99"/>
    <w:rsid w:val="00784632"/>
    <w:rPr>
      <w:rFonts w:ascii="Verdana" w:eastAsia="Calibri" w:hAnsi="Verdana" w:cs="Times New Roman"/>
      <w:sz w:val="20"/>
      <w:szCs w:val="20"/>
      <w:lang w:eastAsia="pt-PT"/>
    </w:rPr>
  </w:style>
  <w:style w:type="paragraph" w:styleId="CommentSubject">
    <w:name w:val="annotation subject"/>
    <w:basedOn w:val="CommentText"/>
    <w:next w:val="CommentText"/>
    <w:link w:val="CommentSubjectChar"/>
    <w:uiPriority w:val="99"/>
    <w:unhideWhenUsed/>
    <w:rsid w:val="005E2AD4"/>
    <w:pPr>
      <w:ind w:left="0" w:firstLine="0"/>
      <w:jc w:val="left"/>
    </w:pPr>
    <w:rPr>
      <w:b/>
      <w:bCs/>
      <w:lang w:val="pt-PT" w:eastAsia="en-US"/>
    </w:rPr>
  </w:style>
  <w:style w:type="character" w:customStyle="1" w:styleId="CommentSubjectChar">
    <w:name w:val="Comment Subject Char"/>
    <w:basedOn w:val="CommentTextChar"/>
    <w:link w:val="CommentSubject"/>
    <w:uiPriority w:val="99"/>
    <w:rsid w:val="005E2AD4"/>
    <w:rPr>
      <w:rFonts w:ascii="Verdana" w:eastAsia="Calibri" w:hAnsi="Verdana" w:cs="Times New Roman"/>
      <w:b/>
      <w:bCs/>
      <w:sz w:val="20"/>
      <w:szCs w:val="20"/>
      <w:lang w:val="pt-PT" w:eastAsia="pt-PT"/>
    </w:rPr>
  </w:style>
  <w:style w:type="paragraph" w:styleId="ListParagraph">
    <w:name w:val="List Paragraph"/>
    <w:basedOn w:val="Normal"/>
    <w:uiPriority w:val="34"/>
    <w:qFormat/>
    <w:rsid w:val="006A3816"/>
    <w:pPr>
      <w:spacing w:before="120" w:after="120"/>
      <w:ind w:left="720"/>
      <w:contextualSpacing/>
    </w:pPr>
    <w:rPr>
      <w:rFonts w:ascii="Verdana" w:eastAsia="Calibri" w:hAnsi="Verdana"/>
      <w:sz w:val="22"/>
      <w:lang w:val="pt-PT" w:eastAsia="en-US"/>
    </w:rPr>
  </w:style>
  <w:style w:type="paragraph" w:styleId="FootnoteText">
    <w:name w:val="footnote text"/>
    <w:aliases w:val="Footnote Text Char1,Footnote Text Char Char,Fußnotentext Char Char Char,Fußnotentext Char1 Char Char Char,Fußnotentext Char Char Char Char Char,Fußnotentext Char1 Char Char Char Char Char,Verdana 8p Regular Foot,Fußno"/>
    <w:basedOn w:val="Normal"/>
    <w:link w:val="FootnoteTextChar"/>
    <w:uiPriority w:val="99"/>
    <w:qFormat/>
    <w:rsid w:val="00415A64"/>
    <w:pPr>
      <w:spacing w:before="120"/>
    </w:pPr>
    <w:rPr>
      <w:rFonts w:ascii="Verdana" w:eastAsia="Calibri" w:hAnsi="Verdana"/>
      <w:sz w:val="20"/>
      <w:szCs w:val="20"/>
      <w:lang w:val="pt-PT" w:eastAsia="en-US"/>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Fußno Char"/>
    <w:basedOn w:val="DefaultParagraphFont"/>
    <w:link w:val="FootnoteText"/>
    <w:uiPriority w:val="99"/>
    <w:rsid w:val="00415A64"/>
    <w:rPr>
      <w:rFonts w:ascii="Verdana" w:eastAsia="Calibri" w:hAnsi="Verdana" w:cs="Times New Roman"/>
      <w:sz w:val="20"/>
      <w:szCs w:val="20"/>
      <w:lang w:val="pt-PT"/>
    </w:rPr>
  </w:style>
  <w:style w:type="character" w:styleId="FootnoteReference">
    <w:name w:val="footnote reference"/>
    <w:aliases w:val="Verdana 11p Regular,hochgestellt,Footnote Reference Number,Footnote Reference_LVL6,Footnote Reference_LVL61,Footnote Reference_LVL62,Footnote Reference_LVL63,Footnote Reference_LVL64,Fußnotenzeichen3,16 Point,Superscript 6 Point"/>
    <w:uiPriority w:val="99"/>
    <w:qFormat/>
    <w:rsid w:val="00415A64"/>
    <w:rPr>
      <w:rFonts w:cs="Times New Roman"/>
      <w:vertAlign w:val="superscript"/>
    </w:rPr>
  </w:style>
  <w:style w:type="paragraph" w:customStyle="1" w:styleId="Titrearticle">
    <w:name w:val="Titre article"/>
    <w:basedOn w:val="Normal"/>
    <w:next w:val="Normal"/>
    <w:rsid w:val="00184026"/>
    <w:pPr>
      <w:keepNext/>
      <w:spacing w:before="360" w:after="120"/>
      <w:jc w:val="center"/>
    </w:pPr>
    <w:rPr>
      <w:rFonts w:eastAsia="Calibri"/>
      <w:i/>
      <w:lang w:eastAsia="de-DE"/>
    </w:rPr>
  </w:style>
  <w:style w:type="paragraph" w:customStyle="1" w:styleId="Fait">
    <w:name w:val="Fait à"/>
    <w:basedOn w:val="Normal"/>
    <w:next w:val="Institutionquisigne"/>
    <w:rsid w:val="00184026"/>
    <w:pPr>
      <w:keepNext/>
      <w:spacing w:before="120"/>
      <w:jc w:val="both"/>
    </w:pPr>
    <w:rPr>
      <w:rFonts w:eastAsia="Calibri"/>
      <w:lang w:eastAsia="de-DE"/>
    </w:rPr>
  </w:style>
  <w:style w:type="paragraph" w:customStyle="1" w:styleId="Institutionquisigne">
    <w:name w:val="Institution qui signe"/>
    <w:basedOn w:val="Normal"/>
    <w:next w:val="Normal"/>
    <w:rsid w:val="00184026"/>
    <w:pPr>
      <w:keepNext/>
      <w:tabs>
        <w:tab w:val="left" w:pos="4252"/>
      </w:tabs>
      <w:spacing w:before="720"/>
      <w:jc w:val="both"/>
    </w:pPr>
    <w:rPr>
      <w:rFonts w:eastAsia="Calibri"/>
      <w:i/>
      <w:lang w:eastAsia="de-DE"/>
    </w:rPr>
  </w:style>
  <w:style w:type="paragraph" w:customStyle="1" w:styleId="Default">
    <w:name w:val="Default"/>
    <w:rsid w:val="00184026"/>
    <w:pPr>
      <w:autoSpaceDE w:val="0"/>
      <w:autoSpaceDN w:val="0"/>
      <w:adjustRightInd w:val="0"/>
      <w:spacing w:after="0" w:line="240" w:lineRule="auto"/>
    </w:pPr>
    <w:rPr>
      <w:rFonts w:ascii="EUAlbertina" w:hAnsi="EUAlbertina" w:cs="EUAlbertina"/>
      <w:color w:val="000000"/>
      <w:sz w:val="24"/>
      <w:szCs w:val="24"/>
    </w:rPr>
  </w:style>
  <w:style w:type="paragraph" w:customStyle="1" w:styleId="NumPar1">
    <w:name w:val="NumPar 1"/>
    <w:basedOn w:val="Normal"/>
    <w:next w:val="Normal"/>
    <w:rsid w:val="009811D4"/>
    <w:pPr>
      <w:numPr>
        <w:numId w:val="1"/>
      </w:numPr>
      <w:spacing w:before="120" w:after="120"/>
    </w:pPr>
  </w:style>
  <w:style w:type="character" w:customStyle="1" w:styleId="DeltaViewInsertion">
    <w:name w:val="DeltaView Insertion"/>
    <w:rsid w:val="00452194"/>
    <w:rPr>
      <w:color w:val="0000FF"/>
      <w:u w:val="double"/>
    </w:rPr>
  </w:style>
  <w:style w:type="paragraph" w:styleId="Revision">
    <w:name w:val="Revision"/>
    <w:hidden/>
    <w:uiPriority w:val="99"/>
    <w:semiHidden/>
    <w:rsid w:val="00452194"/>
    <w:pPr>
      <w:spacing w:after="0" w:line="240" w:lineRule="auto"/>
    </w:pPr>
    <w:rPr>
      <w:rFonts w:ascii="Verdana" w:eastAsia="Calibri" w:hAnsi="Verdana" w:cs="Times New Roman"/>
      <w:szCs w:val="24"/>
      <w:lang w:val="pt-PT"/>
    </w:rPr>
  </w:style>
  <w:style w:type="paragraph" w:customStyle="1" w:styleId="Lijstalinea">
    <w:name w:val="Lijstalinea"/>
    <w:basedOn w:val="Normal"/>
    <w:uiPriority w:val="34"/>
    <w:qFormat/>
    <w:rsid w:val="003A0927"/>
    <w:pPr>
      <w:spacing w:line="260" w:lineRule="atLeast"/>
      <w:ind w:left="720"/>
      <w:contextualSpacing/>
    </w:pPr>
    <w:rPr>
      <w:rFonts w:ascii="Verdana" w:hAnsi="Verdana"/>
      <w:kern w:val="10"/>
      <w:sz w:val="20"/>
      <w:szCs w:val="20"/>
      <w:lang w:val="de-DE" w:eastAsia="de-DE"/>
    </w:rPr>
  </w:style>
  <w:style w:type="numbering" w:customStyle="1" w:styleId="Style1">
    <w:name w:val="Style1"/>
    <w:basedOn w:val="NoList"/>
    <w:uiPriority w:val="99"/>
    <w:rsid w:val="001434D5"/>
    <w:pPr>
      <w:numPr>
        <w:numId w:val="2"/>
      </w:numPr>
    </w:pPr>
  </w:style>
  <w:style w:type="table" w:customStyle="1" w:styleId="TableGrid1">
    <w:name w:val="Table Grid1"/>
    <w:basedOn w:val="TableNormal"/>
    <w:next w:val="TableGrid"/>
    <w:uiPriority w:val="99"/>
    <w:rsid w:val="00BE62E0"/>
    <w:pPr>
      <w:spacing w:after="0" w:line="240" w:lineRule="auto"/>
    </w:pPr>
    <w:rPr>
      <w:rFonts w:ascii="Verdana" w:eastAsia="Times New Roman" w:hAnsi="Verdana"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E6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E62E0"/>
    <w:rPr>
      <w:rFonts w:asciiTheme="majorHAnsi" w:eastAsiaTheme="majorEastAsia" w:hAnsiTheme="majorHAnsi" w:cstheme="majorBidi"/>
      <w:b/>
      <w:bCs/>
      <w:color w:val="365F91" w:themeColor="accent1" w:themeShade="BF"/>
      <w:sz w:val="28"/>
      <w:szCs w:val="28"/>
      <w:lang w:val="pt-PT"/>
    </w:rPr>
  </w:style>
  <w:style w:type="paragraph" w:styleId="TOCHeading">
    <w:name w:val="TOC Heading"/>
    <w:basedOn w:val="Heading1"/>
    <w:next w:val="Normal"/>
    <w:uiPriority w:val="39"/>
    <w:unhideWhenUsed/>
    <w:qFormat/>
    <w:rsid w:val="00BE62E0"/>
    <w:pPr>
      <w:spacing w:before="240" w:after="60"/>
      <w:jc w:val="both"/>
      <w:outlineLvl w:val="9"/>
    </w:pPr>
    <w:rPr>
      <w:rFonts w:ascii="Verdana" w:hAnsi="Verdana"/>
      <w:color w:val="auto"/>
      <w:szCs w:val="24"/>
      <w:lang w:val="en-US" w:eastAsia="ja-JP"/>
    </w:rPr>
  </w:style>
  <w:style w:type="paragraph" w:styleId="TOC1">
    <w:name w:val="toc 1"/>
    <w:basedOn w:val="Normal"/>
    <w:next w:val="Normal"/>
    <w:autoRedefine/>
    <w:uiPriority w:val="39"/>
    <w:unhideWhenUsed/>
    <w:rsid w:val="00BE62E0"/>
    <w:pPr>
      <w:tabs>
        <w:tab w:val="right" w:leader="dot" w:pos="9016"/>
      </w:tabs>
      <w:jc w:val="both"/>
    </w:pPr>
    <w:rPr>
      <w:rFonts w:ascii="Verdana" w:eastAsiaTheme="minorHAnsi" w:hAnsi="Verdana" w:cstheme="minorBidi"/>
      <w:b/>
      <w:noProof/>
      <w:sz w:val="20"/>
      <w:szCs w:val="20"/>
      <w:lang w:eastAsia="en-US"/>
    </w:rPr>
  </w:style>
  <w:style w:type="character" w:customStyle="1" w:styleId="Bold">
    <w:name w:val="Bold"/>
    <w:basedOn w:val="DefaultParagraphFont"/>
    <w:uiPriority w:val="1"/>
    <w:qFormat/>
    <w:rsid w:val="00BE62E0"/>
    <w:rPr>
      <w:b/>
    </w:rPr>
  </w:style>
  <w:style w:type="character" w:customStyle="1" w:styleId="Regular">
    <w:name w:val="Regular"/>
    <w:basedOn w:val="DefaultParagraphFont"/>
    <w:uiPriority w:val="1"/>
    <w:qFormat/>
    <w:rsid w:val="00BE62E0"/>
  </w:style>
  <w:style w:type="paragraph" w:customStyle="1" w:styleId="Bulletpoints1">
    <w:name w:val="Bullet points1"/>
    <w:basedOn w:val="ListBullet"/>
    <w:qFormat/>
    <w:rsid w:val="00BE62E0"/>
  </w:style>
  <w:style w:type="paragraph" w:styleId="ListBullet">
    <w:name w:val="List Bullet"/>
    <w:basedOn w:val="Normal"/>
    <w:uiPriority w:val="99"/>
    <w:semiHidden/>
    <w:unhideWhenUsed/>
    <w:rsid w:val="00BE62E0"/>
    <w:pPr>
      <w:numPr>
        <w:numId w:val="3"/>
      </w:numPr>
      <w:spacing w:before="120"/>
      <w:contextualSpacing/>
      <w:jc w:val="both"/>
    </w:pPr>
    <w:rPr>
      <w:rFonts w:ascii="Verdana" w:eastAsiaTheme="minorHAnsi" w:hAnsi="Verdana" w:cstheme="minorBidi"/>
      <w:sz w:val="22"/>
      <w:szCs w:val="22"/>
      <w:lang w:eastAsia="en-US"/>
    </w:rPr>
  </w:style>
  <w:style w:type="paragraph" w:customStyle="1" w:styleId="Regulationcenter">
    <w:name w:val="Regulation center"/>
    <w:basedOn w:val="Normal"/>
    <w:qFormat/>
    <w:rsid w:val="00F956B4"/>
    <w:pPr>
      <w:keepNext/>
      <w:spacing w:before="360" w:after="120"/>
      <w:jc w:val="center"/>
    </w:pPr>
    <w:rPr>
      <w:color w:val="000000"/>
      <w:lang w:eastAsia="de-DE"/>
    </w:rPr>
  </w:style>
  <w:style w:type="paragraph" w:customStyle="1" w:styleId="BoxText">
    <w:name w:val="Box Text"/>
    <w:basedOn w:val="Normal"/>
    <w:qFormat/>
    <w:rsid w:val="00E2249F"/>
    <w:pPr>
      <w:pBdr>
        <w:top w:val="single" w:sz="4" w:space="10" w:color="D0E7F6"/>
        <w:left w:val="single" w:sz="4" w:space="8" w:color="D0E7F6"/>
        <w:bottom w:val="single" w:sz="4" w:space="10" w:color="D0E7F6"/>
        <w:right w:val="single" w:sz="4" w:space="8" w:color="D0E7F6"/>
      </w:pBdr>
      <w:shd w:val="clear" w:color="auto" w:fill="D0E7F6"/>
      <w:spacing w:before="120"/>
      <w:ind w:left="227" w:right="170"/>
      <w:jc w:val="both"/>
    </w:pPr>
    <w:rPr>
      <w:rFonts w:ascii="Verdana" w:eastAsia="MS Mincho" w:hAnsi="Verdana"/>
      <w:sz w:val="22"/>
      <w:szCs w:val="22"/>
      <w:lang w:val="de-DE" w:eastAsia="de-DE"/>
    </w:rPr>
  </w:style>
  <w:style w:type="character" w:customStyle="1" w:styleId="BoldUnderlined">
    <w:name w:val="Bold Underlined"/>
    <w:basedOn w:val="DefaultParagraphFont"/>
    <w:uiPriority w:val="1"/>
    <w:qFormat/>
    <w:rsid w:val="00E2249F"/>
    <w:rPr>
      <w:b/>
      <w:u w:val="single"/>
    </w:rPr>
  </w:style>
  <w:style w:type="paragraph" w:customStyle="1" w:styleId="Bulletpoints3">
    <w:name w:val="Bullet points3"/>
    <w:basedOn w:val="Normal"/>
    <w:qFormat/>
    <w:rsid w:val="00344798"/>
    <w:pPr>
      <w:numPr>
        <w:numId w:val="4"/>
      </w:numPr>
      <w:spacing w:before="120"/>
      <w:ind w:right="170"/>
      <w:jc w:val="both"/>
    </w:pPr>
    <w:rPr>
      <w:rFonts w:ascii="Verdana" w:eastAsia="MS Mincho" w:hAnsi="Verdana"/>
      <w:sz w:val="22"/>
      <w:szCs w:val="22"/>
      <w:lang w:val="de-DE" w:eastAsia="de-DE"/>
    </w:rPr>
  </w:style>
  <w:style w:type="character" w:customStyle="1" w:styleId="Heading2Char">
    <w:name w:val="Heading 2 Char"/>
    <w:basedOn w:val="DefaultParagraphFont"/>
    <w:link w:val="Heading2"/>
    <w:uiPriority w:val="9"/>
    <w:rsid w:val="00037FF8"/>
    <w:rPr>
      <w:rFonts w:asciiTheme="majorHAnsi" w:eastAsiaTheme="majorEastAsia" w:hAnsiTheme="majorHAnsi" w:cstheme="majorBidi"/>
      <w:b/>
      <w:bCs/>
      <w:color w:val="4F81BD" w:themeColor="accent1"/>
      <w:sz w:val="26"/>
      <w:szCs w:val="26"/>
      <w:lang w:val="pt-PT"/>
    </w:rPr>
  </w:style>
  <w:style w:type="character" w:styleId="Emphasis">
    <w:name w:val="Emphasis"/>
    <w:uiPriority w:val="20"/>
    <w:qFormat/>
    <w:rsid w:val="006B29E2"/>
    <w:rPr>
      <w:i/>
      <w:iCs/>
    </w:rPr>
  </w:style>
  <w:style w:type="character" w:styleId="Strong">
    <w:name w:val="Strong"/>
    <w:uiPriority w:val="22"/>
    <w:qFormat/>
    <w:rsid w:val="006B29E2"/>
    <w:rPr>
      <w:b/>
      <w:bCs/>
    </w:rPr>
  </w:style>
  <w:style w:type="paragraph" w:styleId="TOC2">
    <w:name w:val="toc 2"/>
    <w:basedOn w:val="Normal"/>
    <w:next w:val="Normal"/>
    <w:autoRedefine/>
    <w:uiPriority w:val="39"/>
    <w:unhideWhenUsed/>
    <w:rsid w:val="00AB0FD3"/>
    <w:pPr>
      <w:spacing w:before="120" w:after="100"/>
      <w:ind w:left="220"/>
    </w:pPr>
    <w:rPr>
      <w:rFonts w:ascii="Verdana" w:eastAsia="Calibri" w:hAnsi="Verdana"/>
      <w:sz w:val="22"/>
      <w:lang w:val="pt-PT" w:eastAsia="en-US"/>
    </w:rPr>
  </w:style>
  <w:style w:type="character" w:customStyle="1" w:styleId="Heading3Char">
    <w:name w:val="Heading 3 Char"/>
    <w:basedOn w:val="DefaultParagraphFont"/>
    <w:link w:val="Heading3"/>
    <w:uiPriority w:val="9"/>
    <w:rsid w:val="00FF134F"/>
    <w:rPr>
      <w:rFonts w:ascii="Times New Roman" w:eastAsia="Times New Roman" w:hAnsi="Times New Roman" w:cs="Times New Roman"/>
      <w:sz w:val="24"/>
      <w:szCs w:val="24"/>
      <w:u w:val="single"/>
      <w:lang w:eastAsia="en-GB"/>
    </w:rPr>
  </w:style>
  <w:style w:type="character" w:customStyle="1" w:styleId="Heading4Char">
    <w:name w:val="Heading 4 Char"/>
    <w:basedOn w:val="DefaultParagraphFont"/>
    <w:link w:val="Heading4"/>
    <w:uiPriority w:val="9"/>
    <w:rsid w:val="00FF134F"/>
    <w:rPr>
      <w:rFonts w:ascii="Times New Roman" w:eastAsia="Times New Roman" w:hAnsi="Times New Roman" w:cs="Times New Roman"/>
      <w:sz w:val="24"/>
      <w:szCs w:val="24"/>
      <w:u w:val="single"/>
      <w:lang w:eastAsia="en-GB"/>
    </w:rPr>
  </w:style>
  <w:style w:type="character" w:customStyle="1" w:styleId="Heading5Char">
    <w:name w:val="Heading 5 Char"/>
    <w:basedOn w:val="DefaultParagraphFont"/>
    <w:link w:val="Heading5"/>
    <w:rsid w:val="00FF134F"/>
    <w:rPr>
      <w:rFonts w:ascii="Times New Roman" w:eastAsia="Times New Roman" w:hAnsi="Times New Roman" w:cs="Times New Roman"/>
      <w:b/>
      <w:bCs/>
      <w:sz w:val="24"/>
      <w:szCs w:val="24"/>
      <w:lang w:eastAsia="en-GB"/>
    </w:rPr>
  </w:style>
  <w:style w:type="character" w:customStyle="1" w:styleId="Heading6Char">
    <w:name w:val="Heading 6 Char"/>
    <w:basedOn w:val="DefaultParagraphFont"/>
    <w:link w:val="Heading6"/>
    <w:rsid w:val="00FF134F"/>
    <w:rPr>
      <w:rFonts w:ascii="Times New Roman" w:eastAsia="Times New Roman" w:hAnsi="Times New Roman" w:cs="Times New Roman"/>
      <w:b/>
      <w:bCs/>
      <w:sz w:val="24"/>
      <w:szCs w:val="24"/>
      <w:lang w:eastAsia="en-GB"/>
    </w:rPr>
  </w:style>
  <w:style w:type="paragraph" w:customStyle="1" w:styleId="Char1CharCharCharCharChar">
    <w:name w:val="Char1 Char Char Char Char Char"/>
    <w:basedOn w:val="Normal"/>
    <w:rsid w:val="00FF134F"/>
    <w:pPr>
      <w:spacing w:after="160" w:line="240" w:lineRule="exact"/>
    </w:pPr>
    <w:rPr>
      <w:rFonts w:ascii="Arial" w:hAnsi="Arial"/>
      <w:sz w:val="20"/>
      <w:szCs w:val="20"/>
      <w:lang w:val="en-US" w:eastAsia="en-US"/>
    </w:rPr>
  </w:style>
  <w:style w:type="character" w:styleId="PageNumber">
    <w:name w:val="page number"/>
    <w:aliases w:val="Seitenzahl Verdana 9p – Regular"/>
    <w:basedOn w:val="DefaultParagraphFont"/>
    <w:rsid w:val="00FF134F"/>
  </w:style>
  <w:style w:type="paragraph" w:styleId="BodyText">
    <w:name w:val="Body Text"/>
    <w:basedOn w:val="Normal"/>
    <w:link w:val="BodyTextChar"/>
    <w:rsid w:val="00FF134F"/>
    <w:pPr>
      <w:jc w:val="both"/>
    </w:pPr>
  </w:style>
  <w:style w:type="character" w:customStyle="1" w:styleId="BodyTextChar">
    <w:name w:val="Body Text Char"/>
    <w:basedOn w:val="DefaultParagraphFont"/>
    <w:link w:val="BodyText"/>
    <w:rsid w:val="00FF134F"/>
    <w:rPr>
      <w:rFonts w:ascii="Times New Roman" w:eastAsia="Times New Roman" w:hAnsi="Times New Roman" w:cs="Times New Roman"/>
      <w:sz w:val="24"/>
      <w:szCs w:val="24"/>
      <w:lang w:eastAsia="en-GB"/>
    </w:rPr>
  </w:style>
  <w:style w:type="paragraph" w:styleId="BodyTextIndent">
    <w:name w:val="Body Text Indent"/>
    <w:basedOn w:val="Normal"/>
    <w:link w:val="BodyTextIndentChar"/>
    <w:rsid w:val="00FF134F"/>
    <w:pPr>
      <w:ind w:left="180"/>
      <w:jc w:val="both"/>
    </w:pPr>
    <w:rPr>
      <w:szCs w:val="22"/>
    </w:rPr>
  </w:style>
  <w:style w:type="character" w:customStyle="1" w:styleId="BodyTextIndentChar">
    <w:name w:val="Body Text Indent Char"/>
    <w:basedOn w:val="DefaultParagraphFont"/>
    <w:link w:val="BodyTextIndent"/>
    <w:rsid w:val="00FF134F"/>
    <w:rPr>
      <w:rFonts w:ascii="Times New Roman" w:eastAsia="Times New Roman" w:hAnsi="Times New Roman" w:cs="Times New Roman"/>
      <w:sz w:val="24"/>
      <w:lang w:eastAsia="en-GB"/>
    </w:rPr>
  </w:style>
  <w:style w:type="paragraph" w:customStyle="1" w:styleId="Paragraphedeliste1">
    <w:name w:val="Paragraphe de liste1"/>
    <w:basedOn w:val="Normal"/>
    <w:qFormat/>
    <w:rsid w:val="00FF134F"/>
    <w:pPr>
      <w:ind w:left="708"/>
    </w:pPr>
  </w:style>
  <w:style w:type="paragraph" w:customStyle="1" w:styleId="Rvision1">
    <w:name w:val="Révision1"/>
    <w:hidden/>
    <w:uiPriority w:val="99"/>
    <w:semiHidden/>
    <w:rsid w:val="00FF134F"/>
    <w:pPr>
      <w:spacing w:after="0" w:line="240" w:lineRule="auto"/>
    </w:pPr>
    <w:rPr>
      <w:rFonts w:ascii="Times New Roman" w:eastAsia="Times New Roman" w:hAnsi="Times New Roman" w:cs="Times New Roman"/>
      <w:sz w:val="24"/>
      <w:szCs w:val="24"/>
      <w:lang w:eastAsia="en-GB"/>
    </w:rPr>
  </w:style>
  <w:style w:type="paragraph" w:styleId="TOC3">
    <w:name w:val="toc 3"/>
    <w:basedOn w:val="Normal"/>
    <w:next w:val="Normal"/>
    <w:autoRedefine/>
    <w:uiPriority w:val="39"/>
    <w:rsid w:val="00FF134F"/>
    <w:pPr>
      <w:tabs>
        <w:tab w:val="right" w:leader="dot" w:pos="9072"/>
      </w:tabs>
      <w:ind w:left="482"/>
    </w:pPr>
    <w:rPr>
      <w:rFonts w:ascii="Arial" w:hAnsi="Arial" w:cs="Arial"/>
      <w:bCs/>
      <w:noProof/>
      <w:sz w:val="22"/>
    </w:rPr>
  </w:style>
  <w:style w:type="character" w:customStyle="1" w:styleId="CharChar1">
    <w:name w:val="Char Char1"/>
    <w:semiHidden/>
    <w:rsid w:val="00FF134F"/>
    <w:rPr>
      <w:lang w:val="en-GB" w:eastAsia="en-GB" w:bidi="ar-SA"/>
    </w:rPr>
  </w:style>
  <w:style w:type="paragraph" w:customStyle="1" w:styleId="QISIndentCharCharChar">
    <w:name w:val="QISIndent Char Char Char"/>
    <w:basedOn w:val="Normal"/>
    <w:rsid w:val="00FF134F"/>
    <w:pPr>
      <w:spacing w:after="240"/>
      <w:ind w:left="1134"/>
      <w:jc w:val="both"/>
    </w:pPr>
    <w:rPr>
      <w:rFonts w:ascii="Verdana" w:eastAsia="MS Mincho" w:hAnsi="Verdana"/>
      <w:sz w:val="22"/>
      <w:szCs w:val="20"/>
      <w:lang w:eastAsia="ja-JP"/>
    </w:rPr>
  </w:style>
  <w:style w:type="paragraph" w:customStyle="1" w:styleId="StyleHeading2Arial14ptBefore12ptAfter3pt">
    <w:name w:val="Style Heading 2 + Arial 14 pt Before:  12 pt After:  3 pt"/>
    <w:basedOn w:val="Heading2"/>
    <w:rsid w:val="00FF134F"/>
    <w:pPr>
      <w:keepLines w:val="0"/>
      <w:spacing w:before="240" w:after="60"/>
    </w:pPr>
    <w:rPr>
      <w:rFonts w:ascii="Arial" w:eastAsia="Times New Roman" w:hAnsi="Arial" w:cs="Times New Roman"/>
      <w:color w:val="auto"/>
      <w:sz w:val="28"/>
      <w:szCs w:val="20"/>
      <w:lang w:val="en-GB" w:eastAsia="en-GB"/>
    </w:rPr>
  </w:style>
  <w:style w:type="paragraph" w:customStyle="1" w:styleId="ListParagraph2">
    <w:name w:val="List Paragraph2"/>
    <w:basedOn w:val="Normal"/>
    <w:uiPriority w:val="34"/>
    <w:qFormat/>
    <w:rsid w:val="00FF134F"/>
    <w:pPr>
      <w:spacing w:after="200" w:line="276" w:lineRule="auto"/>
      <w:ind w:left="720"/>
      <w:contextualSpacing/>
    </w:pPr>
    <w:rPr>
      <w:rFonts w:ascii="Calibri" w:hAnsi="Calibri"/>
      <w:sz w:val="22"/>
      <w:szCs w:val="22"/>
      <w:lang w:val="pt-PT" w:eastAsia="en-US"/>
    </w:rPr>
  </w:style>
  <w:style w:type="paragraph" w:styleId="NormalWeb">
    <w:name w:val="Normal (Web)"/>
    <w:basedOn w:val="Normal"/>
    <w:rsid w:val="00FF134F"/>
  </w:style>
  <w:style w:type="paragraph" w:styleId="NoSpacing">
    <w:name w:val="No Spacing"/>
    <w:uiPriority w:val="1"/>
    <w:qFormat/>
    <w:rsid w:val="00FF134F"/>
    <w:pPr>
      <w:spacing w:after="0" w:line="240" w:lineRule="auto"/>
    </w:pPr>
    <w:rPr>
      <w:lang w:val="pl-PL"/>
    </w:rPr>
  </w:style>
  <w:style w:type="table" w:customStyle="1" w:styleId="Tabela-Siatka1">
    <w:name w:val="Tabela - Siatka1"/>
    <w:basedOn w:val="TableNormal"/>
    <w:next w:val="TableGrid"/>
    <w:uiPriority w:val="59"/>
    <w:rsid w:val="00FF13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rsid w:val="00FF134F"/>
    <w:pPr>
      <w:spacing w:after="120" w:line="480" w:lineRule="auto"/>
      <w:ind w:left="283"/>
    </w:pPr>
  </w:style>
  <w:style w:type="character" w:customStyle="1" w:styleId="BodyTextIndent2Char">
    <w:name w:val="Body Text Indent 2 Char"/>
    <w:basedOn w:val="DefaultParagraphFont"/>
    <w:link w:val="BodyTextIndent2"/>
    <w:uiPriority w:val="99"/>
    <w:rsid w:val="00FF134F"/>
    <w:rPr>
      <w:rFonts w:ascii="Times New Roman" w:eastAsia="Times New Roman" w:hAnsi="Times New Roman" w:cs="Times New Roman"/>
      <w:sz w:val="24"/>
      <w:szCs w:val="24"/>
      <w:lang w:eastAsia="en-GB"/>
    </w:rPr>
  </w:style>
  <w:style w:type="numbering" w:customStyle="1" w:styleId="NoList1">
    <w:name w:val="No List1"/>
    <w:next w:val="NoList"/>
    <w:uiPriority w:val="99"/>
    <w:semiHidden/>
    <w:unhideWhenUsed/>
    <w:rsid w:val="000902FB"/>
  </w:style>
  <w:style w:type="table" w:customStyle="1" w:styleId="TableGrid2">
    <w:name w:val="Table Grid2"/>
    <w:basedOn w:val="TableNormal"/>
    <w:next w:val="TableGrid"/>
    <w:uiPriority w:val="99"/>
    <w:rsid w:val="000902F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01">
    <w:name w:val="EmailStyle401"/>
    <w:semiHidden/>
    <w:rsid w:val="000902FB"/>
    <w:rPr>
      <w:rFonts w:ascii="Arial" w:hAnsi="Arial" w:cs="Arial"/>
      <w:color w:val="auto"/>
      <w:sz w:val="20"/>
      <w:szCs w:val="20"/>
    </w:rPr>
  </w:style>
  <w:style w:type="paragraph" w:customStyle="1" w:styleId="PargrafodaLista1">
    <w:name w:val="Parágrafo da Lista1"/>
    <w:basedOn w:val="Normal"/>
    <w:uiPriority w:val="34"/>
    <w:qFormat/>
    <w:rsid w:val="000902FB"/>
    <w:pPr>
      <w:ind w:left="720"/>
    </w:pPr>
  </w:style>
  <w:style w:type="paragraph" w:customStyle="1" w:styleId="04fBodytextblue">
    <w:name w:val="04f_Body text blue"/>
    <w:basedOn w:val="Normal"/>
    <w:rsid w:val="000902FB"/>
    <w:pPr>
      <w:pBdr>
        <w:bottom w:val="single" w:sz="4" w:space="12" w:color="283583"/>
      </w:pBdr>
      <w:spacing w:after="250" w:line="276" w:lineRule="auto"/>
      <w:jc w:val="both"/>
    </w:pPr>
    <w:rPr>
      <w:rFonts w:ascii="Georgia" w:eastAsia="Calibri" w:hAnsi="Georgia"/>
      <w:color w:val="2D4190"/>
      <w:sz w:val="20"/>
      <w:lang w:eastAsia="de-DE"/>
    </w:rPr>
  </w:style>
  <w:style w:type="paragraph" w:customStyle="1" w:styleId="Datedadoption">
    <w:name w:val="Date d'adoption"/>
    <w:basedOn w:val="Normal"/>
    <w:next w:val="Normal"/>
    <w:rsid w:val="000902FB"/>
    <w:pPr>
      <w:spacing w:before="360"/>
      <w:jc w:val="center"/>
    </w:pPr>
    <w:rPr>
      <w:rFonts w:eastAsia="Calibri"/>
      <w:b/>
      <w:lang w:eastAsia="de-DE"/>
    </w:rPr>
  </w:style>
  <w:style w:type="paragraph" w:customStyle="1" w:styleId="Institutionquiagit">
    <w:name w:val="Institution qui agit"/>
    <w:basedOn w:val="Normal"/>
    <w:next w:val="Normal"/>
    <w:rsid w:val="000902FB"/>
    <w:pPr>
      <w:keepNext/>
      <w:spacing w:before="600" w:after="120"/>
      <w:jc w:val="both"/>
    </w:pPr>
    <w:rPr>
      <w:rFonts w:eastAsia="Calibri"/>
      <w:lang w:eastAsia="de-DE"/>
    </w:rPr>
  </w:style>
  <w:style w:type="paragraph" w:customStyle="1" w:styleId="Typedudocument">
    <w:name w:val="Type du document"/>
    <w:basedOn w:val="Normal"/>
    <w:next w:val="Datedadoption"/>
    <w:rsid w:val="000902FB"/>
    <w:pPr>
      <w:spacing w:before="360"/>
      <w:jc w:val="center"/>
    </w:pPr>
    <w:rPr>
      <w:rFonts w:eastAsia="Calibri"/>
      <w:b/>
      <w:lang w:eastAsia="de-DE"/>
    </w:rPr>
  </w:style>
  <w:style w:type="paragraph" w:customStyle="1" w:styleId="Formuledadoption">
    <w:name w:val="Formule d'adoption"/>
    <w:basedOn w:val="Normal"/>
    <w:next w:val="Normal"/>
    <w:rsid w:val="000902FB"/>
    <w:pPr>
      <w:keepNext/>
      <w:spacing w:before="120" w:after="120"/>
      <w:jc w:val="both"/>
    </w:pPr>
    <w:rPr>
      <w:rFonts w:eastAsia="Calibri"/>
      <w:lang w:eastAsia="de-DE"/>
    </w:rPr>
  </w:style>
  <w:style w:type="paragraph" w:customStyle="1" w:styleId="Applicationdirecte">
    <w:name w:val="Application directe"/>
    <w:basedOn w:val="Normal"/>
    <w:next w:val="Fait"/>
    <w:rsid w:val="000902FB"/>
    <w:pPr>
      <w:spacing w:before="480" w:after="120"/>
      <w:jc w:val="both"/>
    </w:pPr>
    <w:rPr>
      <w:rFonts w:eastAsia="Calibri"/>
      <w:lang w:eastAsia="de-DE"/>
    </w:rPr>
  </w:style>
  <w:style w:type="paragraph" w:customStyle="1" w:styleId="Personnequisigne">
    <w:name w:val="Personne qui signe"/>
    <w:basedOn w:val="Normal"/>
    <w:next w:val="Institutionquisigne"/>
    <w:rsid w:val="000902FB"/>
    <w:pPr>
      <w:tabs>
        <w:tab w:val="left" w:pos="4252"/>
      </w:tabs>
    </w:pPr>
    <w:rPr>
      <w:rFonts w:eastAsia="Calibri"/>
      <w:i/>
      <w:lang w:eastAsia="de-DE"/>
    </w:rPr>
  </w:style>
  <w:style w:type="character" w:styleId="FollowedHyperlink">
    <w:name w:val="FollowedHyperlink"/>
    <w:rsid w:val="000902FB"/>
    <w:rPr>
      <w:color w:val="800080"/>
      <w:u w:val="single"/>
    </w:rPr>
  </w:style>
  <w:style w:type="paragraph" w:customStyle="1" w:styleId="Annexetitre">
    <w:name w:val="Annexe titre"/>
    <w:basedOn w:val="Normal"/>
    <w:next w:val="Normal"/>
    <w:rsid w:val="000902FB"/>
    <w:pPr>
      <w:spacing w:before="120" w:after="120"/>
      <w:jc w:val="center"/>
    </w:pPr>
    <w:rPr>
      <w:rFonts w:eastAsia="Calibri"/>
      <w:b/>
      <w:u w:val="single"/>
      <w:lang w:eastAsia="en-US"/>
    </w:rPr>
  </w:style>
  <w:style w:type="paragraph" w:customStyle="1" w:styleId="AlineasCEIOPS">
    <w:name w:val="Alinea's CEIOPS"/>
    <w:basedOn w:val="Normal"/>
    <w:link w:val="AlineasCEIOPSChar"/>
    <w:rsid w:val="000902FB"/>
    <w:pPr>
      <w:numPr>
        <w:numId w:val="9"/>
      </w:numPr>
      <w:ind w:left="567" w:hanging="567"/>
      <w:jc w:val="both"/>
    </w:pPr>
    <w:rPr>
      <w:rFonts w:ascii="Verdana" w:hAnsi="Verdana"/>
      <w:sz w:val="22"/>
    </w:rPr>
  </w:style>
  <w:style w:type="character" w:customStyle="1" w:styleId="AlineasCEIOPSChar">
    <w:name w:val="Alinea's CEIOPS Char"/>
    <w:link w:val="AlineasCEIOPS"/>
    <w:rsid w:val="000902FB"/>
    <w:rPr>
      <w:rFonts w:ascii="Verdana" w:eastAsia="Times New Roman" w:hAnsi="Verdana" w:cs="Times New Roman"/>
      <w:szCs w:val="24"/>
      <w:lang w:eastAsia="en-GB"/>
    </w:rPr>
  </w:style>
  <w:style w:type="paragraph" w:customStyle="1" w:styleId="Reviso1">
    <w:name w:val="Revisão1"/>
    <w:hidden/>
    <w:uiPriority w:val="99"/>
    <w:semiHidden/>
    <w:rsid w:val="000902FB"/>
    <w:pPr>
      <w:spacing w:after="0" w:line="240" w:lineRule="auto"/>
    </w:pPr>
    <w:rPr>
      <w:rFonts w:ascii="Times New Roman" w:eastAsia="Times New Roman" w:hAnsi="Times New Roman" w:cs="Times New Roman"/>
      <w:sz w:val="24"/>
      <w:szCs w:val="24"/>
      <w:lang w:eastAsia="en-GB"/>
    </w:rPr>
  </w:style>
  <w:style w:type="paragraph" w:customStyle="1" w:styleId="Point2">
    <w:name w:val="Point 2"/>
    <w:basedOn w:val="Normal"/>
    <w:rsid w:val="000902FB"/>
    <w:pPr>
      <w:spacing w:before="120" w:after="120"/>
      <w:ind w:left="1984" w:hanging="567"/>
      <w:jc w:val="both"/>
    </w:pPr>
    <w:rPr>
      <w:lang w:eastAsia="de-DE"/>
    </w:rPr>
  </w:style>
  <w:style w:type="paragraph" w:customStyle="1" w:styleId="Point3">
    <w:name w:val="Point 3"/>
    <w:basedOn w:val="Normal"/>
    <w:rsid w:val="000902FB"/>
    <w:pPr>
      <w:spacing w:before="120" w:after="120"/>
      <w:ind w:left="2551" w:hanging="567"/>
      <w:jc w:val="both"/>
    </w:pPr>
    <w:rPr>
      <w:lang w:eastAsia="de-DE"/>
    </w:rPr>
  </w:style>
  <w:style w:type="paragraph" w:customStyle="1" w:styleId="ContinuousSquareBullet">
    <w:name w:val="Continuous Square Bullet"/>
    <w:basedOn w:val="Normal"/>
    <w:uiPriority w:val="99"/>
    <w:rsid w:val="000902FB"/>
    <w:pPr>
      <w:numPr>
        <w:numId w:val="10"/>
      </w:numPr>
      <w:spacing w:after="280" w:line="280" w:lineRule="exact"/>
    </w:pPr>
    <w:rPr>
      <w:rFonts w:ascii="Arial" w:hAnsi="Arial" w:cs="Arial"/>
      <w:sz w:val="23"/>
      <w:szCs w:val="23"/>
      <w:lang w:eastAsia="en-US"/>
    </w:rPr>
  </w:style>
  <w:style w:type="paragraph" w:customStyle="1" w:styleId="EP-ReferenznummerVerdana10pRegular">
    <w:name w:val="EP-Referenznummer Verdana 10p Regular"/>
    <w:basedOn w:val="Normal"/>
    <w:qFormat/>
    <w:rsid w:val="000902FB"/>
    <w:pPr>
      <w:spacing w:after="2840"/>
      <w:jc w:val="right"/>
    </w:pPr>
    <w:rPr>
      <w:rFonts w:ascii="Verdana" w:eastAsia="MS Mincho" w:hAnsi="Verdana"/>
      <w:sz w:val="20"/>
      <w:szCs w:val="22"/>
      <w:lang w:val="de-DE" w:eastAsia="de-DE"/>
    </w:rPr>
  </w:style>
  <w:style w:type="paragraph" w:customStyle="1" w:styleId="Adviceonect24p">
    <w:name w:val="Advice on... ect. 24p"/>
    <w:basedOn w:val="Normal"/>
    <w:next w:val="Normal"/>
    <w:qFormat/>
    <w:rsid w:val="000902FB"/>
    <w:pPr>
      <w:pBdr>
        <w:top w:val="single" w:sz="4" w:space="25" w:color="D0E7F6"/>
        <w:left w:val="single" w:sz="4" w:space="8" w:color="D0E7F6"/>
        <w:bottom w:val="single" w:sz="4" w:space="30" w:color="D0E7F6"/>
        <w:right w:val="single" w:sz="4" w:space="8" w:color="D0E7F6"/>
      </w:pBdr>
      <w:shd w:val="clear" w:color="auto" w:fill="D0E7F6"/>
      <w:ind w:left="170" w:right="170"/>
      <w:jc w:val="center"/>
    </w:pPr>
    <w:rPr>
      <w:rFonts w:ascii="Verdana" w:eastAsia="MS Mincho" w:hAnsi="Verdana"/>
      <w:b/>
      <w:bCs/>
      <w:sz w:val="48"/>
      <w:szCs w:val="48"/>
      <w:lang w:val="de-DE" w:eastAsia="de-DE"/>
    </w:rPr>
  </w:style>
  <w:style w:type="paragraph" w:customStyle="1" w:styleId="Subjectxxx24p">
    <w:name w:val="Subject xxx 24p"/>
    <w:basedOn w:val="Normal"/>
    <w:next w:val="Normal"/>
    <w:qFormat/>
    <w:rsid w:val="000902FB"/>
    <w:pPr>
      <w:pBdr>
        <w:top w:val="single" w:sz="4" w:space="8" w:color="D0E7F6"/>
        <w:left w:val="single" w:sz="4" w:space="8" w:color="D0E7F6"/>
        <w:bottom w:val="single" w:sz="4" w:space="8" w:color="D0E7F6"/>
        <w:right w:val="single" w:sz="4" w:space="8" w:color="D0E7F6"/>
      </w:pBdr>
      <w:shd w:val="clear" w:color="auto" w:fill="D0E7F6"/>
      <w:ind w:left="170" w:right="170"/>
      <w:jc w:val="center"/>
    </w:pPr>
    <w:rPr>
      <w:rFonts w:ascii="Verdana" w:eastAsia="MS Mincho" w:hAnsi="Verdana"/>
      <w:b/>
      <w:bCs/>
      <w:sz w:val="48"/>
      <w:szCs w:val="48"/>
      <w:lang w:val="de-DE" w:eastAsia="de-DE"/>
    </w:rPr>
  </w:style>
  <w:style w:type="paragraph" w:customStyle="1" w:styleId="Pagedecouverture">
    <w:name w:val="Page de couverture"/>
    <w:basedOn w:val="Normal"/>
    <w:next w:val="Normal"/>
    <w:rsid w:val="000902FB"/>
    <w:pPr>
      <w:spacing w:before="120" w:after="120"/>
      <w:jc w:val="both"/>
    </w:pPr>
    <w:rPr>
      <w:lang w:eastAsia="en-US"/>
    </w:rPr>
  </w:style>
  <w:style w:type="paragraph" w:customStyle="1" w:styleId="PlainText1">
    <w:name w:val="Plain Text1"/>
    <w:basedOn w:val="Normal"/>
    <w:next w:val="PlainText"/>
    <w:link w:val="PlainTextChar"/>
    <w:uiPriority w:val="99"/>
    <w:semiHidden/>
    <w:unhideWhenUsed/>
    <w:rsid w:val="000902FB"/>
    <w:rPr>
      <w:rFonts w:ascii="Calibri" w:eastAsia="Calibri" w:hAnsi="Calibri" w:cs="Calibri"/>
      <w:sz w:val="22"/>
      <w:szCs w:val="22"/>
    </w:rPr>
  </w:style>
  <w:style w:type="character" w:customStyle="1" w:styleId="PlainTextChar">
    <w:name w:val="Plain Text Char"/>
    <w:basedOn w:val="DefaultParagraphFont"/>
    <w:link w:val="PlainText1"/>
    <w:uiPriority w:val="99"/>
    <w:semiHidden/>
    <w:rsid w:val="000902FB"/>
    <w:rPr>
      <w:rFonts w:ascii="Calibri" w:eastAsia="Calibri" w:hAnsi="Calibri" w:cs="Calibri"/>
      <w:sz w:val="22"/>
      <w:szCs w:val="22"/>
      <w:lang w:val="en-GB" w:eastAsia="en-GB"/>
    </w:rPr>
  </w:style>
  <w:style w:type="paragraph" w:customStyle="1" w:styleId="Considrant">
    <w:name w:val="Considérant"/>
    <w:basedOn w:val="Normal"/>
    <w:rsid w:val="000902FB"/>
    <w:pPr>
      <w:numPr>
        <w:numId w:val="11"/>
      </w:numPr>
      <w:spacing w:before="120" w:after="120"/>
      <w:jc w:val="both"/>
    </w:pPr>
    <w:rPr>
      <w:lang w:eastAsia="en-US"/>
    </w:rPr>
  </w:style>
  <w:style w:type="numbering" w:customStyle="1" w:styleId="Style11">
    <w:name w:val="Style11"/>
    <w:basedOn w:val="NoList"/>
    <w:uiPriority w:val="99"/>
    <w:rsid w:val="000902FB"/>
  </w:style>
  <w:style w:type="paragraph" w:customStyle="1" w:styleId="ListParagraph1">
    <w:name w:val="List Paragraph1"/>
    <w:basedOn w:val="Normal"/>
    <w:qFormat/>
    <w:rsid w:val="000902FB"/>
    <w:pPr>
      <w:ind w:left="720"/>
    </w:pPr>
    <w:rPr>
      <w:rFonts w:eastAsia="Calibri"/>
    </w:rPr>
  </w:style>
  <w:style w:type="paragraph" w:customStyle="1" w:styleId="Listeafsnit1">
    <w:name w:val="Listeafsnit1"/>
    <w:basedOn w:val="Normal"/>
    <w:rsid w:val="000902FB"/>
    <w:pPr>
      <w:ind w:left="720"/>
      <w:jc w:val="both"/>
    </w:pPr>
    <w:rPr>
      <w:rFonts w:eastAsia="Calibri"/>
      <w:sz w:val="22"/>
      <w:szCs w:val="20"/>
      <w:lang w:val="fr-FR" w:eastAsia="fr-FR"/>
    </w:rPr>
  </w:style>
  <w:style w:type="character" w:customStyle="1" w:styleId="FootnoteCharacters">
    <w:name w:val="Footnote Characters"/>
    <w:rsid w:val="000902FB"/>
    <w:rPr>
      <w:vertAlign w:val="superscript"/>
    </w:rPr>
  </w:style>
  <w:style w:type="paragraph" w:customStyle="1" w:styleId="ManualConsidrant">
    <w:name w:val="Manual Considérant"/>
    <w:basedOn w:val="Normal"/>
    <w:rsid w:val="000902FB"/>
    <w:pPr>
      <w:spacing w:before="120" w:after="120"/>
      <w:ind w:left="709" w:hanging="709"/>
      <w:jc w:val="both"/>
    </w:pPr>
    <w:rPr>
      <w:lang w:eastAsia="de-DE"/>
    </w:rPr>
  </w:style>
  <w:style w:type="paragraph" w:styleId="DocumentMap">
    <w:name w:val="Document Map"/>
    <w:basedOn w:val="Normal"/>
    <w:link w:val="DocumentMapChar"/>
    <w:rsid w:val="000902FB"/>
    <w:rPr>
      <w:rFonts w:ascii="Tahoma" w:eastAsia="Calibri" w:hAnsi="Tahoma" w:cs="Tahoma"/>
      <w:sz w:val="16"/>
      <w:szCs w:val="16"/>
    </w:rPr>
  </w:style>
  <w:style w:type="character" w:customStyle="1" w:styleId="DocumentMapChar">
    <w:name w:val="Document Map Char"/>
    <w:basedOn w:val="DefaultParagraphFont"/>
    <w:link w:val="DocumentMap"/>
    <w:rsid w:val="000902FB"/>
    <w:rPr>
      <w:rFonts w:ascii="Tahoma" w:eastAsia="Calibri" w:hAnsi="Tahoma" w:cs="Tahoma"/>
      <w:sz w:val="16"/>
      <w:szCs w:val="16"/>
      <w:lang w:eastAsia="en-GB"/>
    </w:rPr>
  </w:style>
  <w:style w:type="paragraph" w:styleId="PlainText">
    <w:name w:val="Plain Text"/>
    <w:basedOn w:val="Normal"/>
    <w:link w:val="PlainTextChar1"/>
    <w:uiPriority w:val="99"/>
    <w:semiHidden/>
    <w:unhideWhenUsed/>
    <w:rsid w:val="000902FB"/>
    <w:rPr>
      <w:rFonts w:ascii="Consolas" w:eastAsia="Calibri" w:hAnsi="Consolas"/>
      <w:sz w:val="21"/>
      <w:szCs w:val="21"/>
      <w:lang w:val="pt-PT" w:eastAsia="en-US"/>
    </w:rPr>
  </w:style>
  <w:style w:type="character" w:customStyle="1" w:styleId="PlainTextChar1">
    <w:name w:val="Plain Text Char1"/>
    <w:basedOn w:val="DefaultParagraphFont"/>
    <w:link w:val="PlainText"/>
    <w:uiPriority w:val="99"/>
    <w:semiHidden/>
    <w:rsid w:val="000902FB"/>
    <w:rPr>
      <w:rFonts w:ascii="Consolas" w:eastAsia="Calibri" w:hAnsi="Consolas" w:cs="Times New Roman"/>
      <w:sz w:val="21"/>
      <w:szCs w:val="21"/>
      <w:lang w:val="pt-PT"/>
    </w:rPr>
  </w:style>
  <w:style w:type="numbering" w:customStyle="1" w:styleId="NoList2">
    <w:name w:val="No List2"/>
    <w:next w:val="NoList"/>
    <w:uiPriority w:val="99"/>
    <w:semiHidden/>
    <w:unhideWhenUsed/>
    <w:rsid w:val="000902FB"/>
  </w:style>
  <w:style w:type="table" w:customStyle="1" w:styleId="TableGrid3">
    <w:name w:val="Table Grid3"/>
    <w:basedOn w:val="TableNormal"/>
    <w:next w:val="TableGrid"/>
    <w:rsid w:val="000902F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basedOn w:val="NoList"/>
    <w:uiPriority w:val="99"/>
    <w:rsid w:val="000902FB"/>
    <w:pPr>
      <w:numPr>
        <w:numId w:val="19"/>
      </w:numPr>
    </w:pPr>
  </w:style>
  <w:style w:type="numbering" w:customStyle="1" w:styleId="NoList3">
    <w:name w:val="No List3"/>
    <w:next w:val="NoList"/>
    <w:uiPriority w:val="99"/>
    <w:semiHidden/>
    <w:unhideWhenUsed/>
    <w:rsid w:val="00A86315"/>
  </w:style>
  <w:style w:type="table" w:customStyle="1" w:styleId="TableGrid4">
    <w:name w:val="Table Grid4"/>
    <w:basedOn w:val="TableNormal"/>
    <w:next w:val="TableGrid"/>
    <w:rsid w:val="00A8631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3">
    <w:name w:val="Style13"/>
    <w:basedOn w:val="NoList"/>
    <w:uiPriority w:val="99"/>
    <w:rsid w:val="00A86315"/>
  </w:style>
  <w:style w:type="numbering" w:customStyle="1" w:styleId="NoList4">
    <w:name w:val="No List4"/>
    <w:next w:val="NoList"/>
    <w:uiPriority w:val="99"/>
    <w:semiHidden/>
    <w:unhideWhenUsed/>
    <w:rsid w:val="001A4529"/>
  </w:style>
  <w:style w:type="table" w:customStyle="1" w:styleId="TableGrid5">
    <w:name w:val="Table Grid5"/>
    <w:basedOn w:val="TableNormal"/>
    <w:next w:val="TableGrid"/>
    <w:rsid w:val="001A452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4">
    <w:name w:val="Style14"/>
    <w:basedOn w:val="NoList"/>
    <w:uiPriority w:val="99"/>
    <w:rsid w:val="001A4529"/>
  </w:style>
  <w:style w:type="numbering" w:customStyle="1" w:styleId="NoList5">
    <w:name w:val="No List5"/>
    <w:next w:val="NoList"/>
    <w:uiPriority w:val="99"/>
    <w:semiHidden/>
    <w:unhideWhenUsed/>
    <w:rsid w:val="000D3CFF"/>
  </w:style>
  <w:style w:type="table" w:customStyle="1" w:styleId="TableGrid6">
    <w:name w:val="Table Grid6"/>
    <w:basedOn w:val="TableNormal"/>
    <w:next w:val="TableGrid"/>
    <w:rsid w:val="000D3CF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5">
    <w:name w:val="Style15"/>
    <w:basedOn w:val="NoList"/>
    <w:uiPriority w:val="99"/>
    <w:rsid w:val="000D3CFF"/>
  </w:style>
  <w:style w:type="paragraph" w:styleId="Title">
    <w:name w:val="Title"/>
    <w:aliases w:val="Document Title,Title Cover"/>
    <w:basedOn w:val="Normal"/>
    <w:link w:val="TitleChar"/>
    <w:uiPriority w:val="10"/>
    <w:qFormat/>
    <w:rsid w:val="006C1A1F"/>
    <w:pPr>
      <w:spacing w:line="360" w:lineRule="auto"/>
      <w:jc w:val="center"/>
    </w:pPr>
    <w:rPr>
      <w:b/>
      <w:bCs/>
      <w:sz w:val="28"/>
      <w:szCs w:val="20"/>
      <w:u w:val="single"/>
      <w:lang w:val="en-IE" w:eastAsia="en-US"/>
    </w:rPr>
  </w:style>
  <w:style w:type="character" w:customStyle="1" w:styleId="TitleChar">
    <w:name w:val="Title Char"/>
    <w:aliases w:val="Document Title Char,Title Cover Char"/>
    <w:basedOn w:val="DefaultParagraphFont"/>
    <w:link w:val="Title"/>
    <w:uiPriority w:val="10"/>
    <w:rsid w:val="006C1A1F"/>
    <w:rPr>
      <w:rFonts w:ascii="Times New Roman" w:eastAsia="Times New Roman" w:hAnsi="Times New Roman" w:cs="Times New Roman"/>
      <w:b/>
      <w:bCs/>
      <w:sz w:val="28"/>
      <w:szCs w:val="20"/>
      <w:u w:val="single"/>
      <w:lang w:val="en-IE"/>
    </w:rPr>
  </w:style>
  <w:style w:type="paragraph" w:customStyle="1" w:styleId="ReferenceNumber">
    <w:name w:val="Reference Number"/>
    <w:basedOn w:val="Normal"/>
    <w:qFormat/>
    <w:rsid w:val="0003733C"/>
    <w:pPr>
      <w:tabs>
        <w:tab w:val="left" w:pos="1480"/>
      </w:tabs>
      <w:jc w:val="right"/>
    </w:pPr>
    <w:rPr>
      <w:rFonts w:ascii="Verdana" w:eastAsiaTheme="minorHAnsi" w:hAnsi="Verdana" w:cstheme="minorBidi"/>
      <w:sz w:val="20"/>
      <w:szCs w:val="20"/>
      <w:lang w:eastAsia="en-US"/>
    </w:rPr>
  </w:style>
  <w:style w:type="paragraph" w:customStyle="1" w:styleId="DocumentSubtitle">
    <w:name w:val="Document Subtitle"/>
    <w:basedOn w:val="Heading1"/>
    <w:qFormat/>
    <w:rsid w:val="0003733C"/>
    <w:pPr>
      <w:spacing w:before="240" w:after="60"/>
      <w:jc w:val="center"/>
    </w:pPr>
    <w:rPr>
      <w:rFonts w:ascii="Verdana" w:hAnsi="Verdana"/>
      <w:color w:val="auto"/>
      <w:lang w:val="en-GB"/>
    </w:rPr>
  </w:style>
  <w:style w:type="character" w:customStyle="1" w:styleId="Style10">
    <w:name w:val="Style10"/>
    <w:basedOn w:val="DefaultParagraphFont"/>
    <w:uiPriority w:val="1"/>
    <w:rsid w:val="0003733C"/>
    <w:rPr>
      <w:color w:val="FF0000"/>
    </w:rPr>
  </w:style>
  <w:style w:type="paragraph" w:customStyle="1" w:styleId="ConsultationItalic">
    <w:name w:val="Consultation Italic"/>
    <w:basedOn w:val="Normal"/>
    <w:rsid w:val="0003733C"/>
    <w:pPr>
      <w:numPr>
        <w:numId w:val="26"/>
      </w:numPr>
      <w:spacing w:after="120" w:line="276" w:lineRule="auto"/>
    </w:pPr>
    <w:rPr>
      <w:i/>
      <w:noProof/>
      <w:lang w:eastAsia="de-DE"/>
    </w:rPr>
  </w:style>
  <w:style w:type="paragraph" w:customStyle="1" w:styleId="Numberedparagraph">
    <w:name w:val="Numbered paragraph"/>
    <w:rsid w:val="007A75B6"/>
    <w:pPr>
      <w:numPr>
        <w:numId w:val="32"/>
      </w:numPr>
      <w:spacing w:after="240" w:line="280" w:lineRule="atLeast"/>
      <w:jc w:val="both"/>
    </w:pPr>
    <w:rPr>
      <w:rFonts w:ascii="Arial" w:eastAsia="Times New Roman" w:hAnsi="Arial" w:cs="Times New Roman"/>
      <w:szCs w:val="20"/>
    </w:rPr>
  </w:style>
  <w:style w:type="character" w:customStyle="1" w:styleId="super">
    <w:name w:val="super"/>
    <w:basedOn w:val="DefaultParagraphFont"/>
    <w:rsid w:val="00953548"/>
  </w:style>
  <w:style w:type="character" w:customStyle="1" w:styleId="apple-converted-space">
    <w:name w:val="apple-converted-space"/>
    <w:basedOn w:val="DefaultParagraphFont"/>
    <w:rsid w:val="00953548"/>
  </w:style>
  <w:style w:type="paragraph" w:customStyle="1" w:styleId="xl16824">
    <w:name w:val="xl16824"/>
    <w:basedOn w:val="Normal"/>
    <w:rsid w:val="004769D4"/>
    <w:pPr>
      <w:shd w:val="clear" w:color="000000" w:fill="FFFFFF"/>
      <w:spacing w:before="100" w:beforeAutospacing="1" w:after="100" w:afterAutospacing="1"/>
      <w:textAlignment w:val="center"/>
    </w:pPr>
    <w:rPr>
      <w:rFonts w:ascii="Verdana" w:hAnsi="Verdana"/>
      <w:b/>
      <w:bCs/>
    </w:rPr>
  </w:style>
  <w:style w:type="character" w:customStyle="1" w:styleId="Marker">
    <w:name w:val="Marker"/>
    <w:basedOn w:val="DefaultParagraphFont"/>
    <w:rsid w:val="00B922FE"/>
    <w:rPr>
      <w:color w:val="0000FF"/>
      <w:shd w:val="clear" w:color="auto" w:fill="auto"/>
    </w:rPr>
  </w:style>
  <w:style w:type="paragraph" w:customStyle="1" w:styleId="FooterCoverPage">
    <w:name w:val="Footer Cover Page"/>
    <w:basedOn w:val="Normal"/>
    <w:link w:val="FooterCoverPageChar"/>
    <w:rsid w:val="00B922FE"/>
    <w:pPr>
      <w:tabs>
        <w:tab w:val="center" w:pos="4535"/>
        <w:tab w:val="right" w:pos="9071"/>
        <w:tab w:val="right" w:pos="9921"/>
      </w:tabs>
      <w:spacing w:before="360"/>
      <w:ind w:left="-850" w:right="-850"/>
    </w:pPr>
    <w:rPr>
      <w:noProof/>
      <w:color w:val="000000"/>
      <w:lang w:eastAsia="en-US"/>
    </w:rPr>
  </w:style>
  <w:style w:type="character" w:customStyle="1" w:styleId="FooterCoverPageChar">
    <w:name w:val="Footer Cover Page Char"/>
    <w:basedOn w:val="DefaultParagraphFont"/>
    <w:link w:val="FooterCoverPage"/>
    <w:rsid w:val="00B922FE"/>
    <w:rPr>
      <w:rFonts w:ascii="Times New Roman" w:eastAsia="Times New Roman" w:hAnsi="Times New Roman" w:cs="Times New Roman"/>
      <w:noProof/>
      <w:color w:val="000000"/>
      <w:sz w:val="24"/>
      <w:szCs w:val="24"/>
    </w:rPr>
  </w:style>
  <w:style w:type="paragraph" w:customStyle="1" w:styleId="HeaderCoverPage">
    <w:name w:val="Header Cover Page"/>
    <w:basedOn w:val="Normal"/>
    <w:link w:val="HeaderCoverPageChar"/>
    <w:rsid w:val="00B922FE"/>
    <w:pPr>
      <w:tabs>
        <w:tab w:val="center" w:pos="4535"/>
        <w:tab w:val="right" w:pos="9071"/>
      </w:tabs>
      <w:spacing w:after="120"/>
      <w:jc w:val="both"/>
    </w:pPr>
    <w:rPr>
      <w:noProof/>
      <w:color w:val="000000"/>
      <w:lang w:eastAsia="en-US"/>
    </w:rPr>
  </w:style>
  <w:style w:type="character" w:customStyle="1" w:styleId="HeaderCoverPageChar">
    <w:name w:val="Header Cover Page Char"/>
    <w:basedOn w:val="DefaultParagraphFont"/>
    <w:link w:val="HeaderCoverPage"/>
    <w:rsid w:val="00B922FE"/>
    <w:rPr>
      <w:rFonts w:ascii="Times New Roman" w:eastAsia="Times New Roman" w:hAnsi="Times New Roman" w:cs="Times New Roman"/>
      <w:noProof/>
      <w:color w:val="000000"/>
      <w:sz w:val="24"/>
      <w:szCs w:val="24"/>
    </w:rPr>
  </w:style>
  <w:style w:type="paragraph" w:customStyle="1" w:styleId="ti-art">
    <w:name w:val="ti-art"/>
    <w:basedOn w:val="Normal"/>
    <w:rsid w:val="00182971"/>
    <w:pPr>
      <w:spacing w:before="100" w:beforeAutospacing="1" w:after="100" w:afterAutospacing="1"/>
    </w:pPr>
  </w:style>
  <w:style w:type="paragraph" w:customStyle="1" w:styleId="sti-art">
    <w:name w:val="sti-art"/>
    <w:basedOn w:val="Normal"/>
    <w:rsid w:val="00182971"/>
    <w:pPr>
      <w:spacing w:before="100" w:beforeAutospacing="1" w:after="100" w:afterAutospacing="1"/>
    </w:pPr>
  </w:style>
  <w:style w:type="paragraph" w:customStyle="1" w:styleId="Normal1">
    <w:name w:val="Normal1"/>
    <w:basedOn w:val="Normal"/>
    <w:rsid w:val="00182971"/>
    <w:pPr>
      <w:spacing w:before="100" w:beforeAutospacing="1" w:after="100" w:afterAutospacing="1"/>
    </w:pPr>
  </w:style>
  <w:style w:type="character" w:customStyle="1" w:styleId="italic">
    <w:name w:val="italic"/>
    <w:basedOn w:val="DefaultParagraphFont"/>
    <w:rsid w:val="00182971"/>
  </w:style>
  <w:style w:type="paragraph" w:customStyle="1" w:styleId="signatory">
    <w:name w:val="signatory"/>
    <w:basedOn w:val="Normal"/>
    <w:rsid w:val="00182971"/>
    <w:pPr>
      <w:spacing w:before="100" w:beforeAutospacing="1" w:after="100" w:afterAutospacing="1"/>
    </w:pPr>
  </w:style>
  <w:style w:type="paragraph" w:customStyle="1" w:styleId="Standard1">
    <w:name w:val="Standard1"/>
    <w:basedOn w:val="Normal"/>
    <w:rsid w:val="00E91661"/>
    <w:pPr>
      <w:spacing w:before="100" w:beforeAutospacing="1" w:after="100" w:afterAutospacing="1"/>
    </w:pPr>
  </w:style>
  <w:style w:type="paragraph" w:customStyle="1" w:styleId="Normale1">
    <w:name w:val="Normale1"/>
    <w:basedOn w:val="Normal"/>
    <w:rsid w:val="00530FB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6080">
      <w:bodyDiv w:val="1"/>
      <w:marLeft w:val="0"/>
      <w:marRight w:val="0"/>
      <w:marTop w:val="0"/>
      <w:marBottom w:val="0"/>
      <w:divBdr>
        <w:top w:val="none" w:sz="0" w:space="0" w:color="auto"/>
        <w:left w:val="none" w:sz="0" w:space="0" w:color="auto"/>
        <w:bottom w:val="none" w:sz="0" w:space="0" w:color="auto"/>
        <w:right w:val="none" w:sz="0" w:space="0" w:color="auto"/>
      </w:divBdr>
    </w:div>
    <w:div w:id="20714586">
      <w:bodyDiv w:val="1"/>
      <w:marLeft w:val="0"/>
      <w:marRight w:val="0"/>
      <w:marTop w:val="0"/>
      <w:marBottom w:val="0"/>
      <w:divBdr>
        <w:top w:val="none" w:sz="0" w:space="0" w:color="auto"/>
        <w:left w:val="none" w:sz="0" w:space="0" w:color="auto"/>
        <w:bottom w:val="none" w:sz="0" w:space="0" w:color="auto"/>
        <w:right w:val="none" w:sz="0" w:space="0" w:color="auto"/>
      </w:divBdr>
    </w:div>
    <w:div w:id="22706405">
      <w:bodyDiv w:val="1"/>
      <w:marLeft w:val="0"/>
      <w:marRight w:val="0"/>
      <w:marTop w:val="0"/>
      <w:marBottom w:val="0"/>
      <w:divBdr>
        <w:top w:val="none" w:sz="0" w:space="0" w:color="auto"/>
        <w:left w:val="none" w:sz="0" w:space="0" w:color="auto"/>
        <w:bottom w:val="none" w:sz="0" w:space="0" w:color="auto"/>
        <w:right w:val="none" w:sz="0" w:space="0" w:color="auto"/>
      </w:divBdr>
    </w:div>
    <w:div w:id="31149720">
      <w:bodyDiv w:val="1"/>
      <w:marLeft w:val="0"/>
      <w:marRight w:val="0"/>
      <w:marTop w:val="0"/>
      <w:marBottom w:val="0"/>
      <w:divBdr>
        <w:top w:val="none" w:sz="0" w:space="0" w:color="auto"/>
        <w:left w:val="none" w:sz="0" w:space="0" w:color="auto"/>
        <w:bottom w:val="none" w:sz="0" w:space="0" w:color="auto"/>
        <w:right w:val="none" w:sz="0" w:space="0" w:color="auto"/>
      </w:divBdr>
    </w:div>
    <w:div w:id="60367977">
      <w:bodyDiv w:val="1"/>
      <w:marLeft w:val="0"/>
      <w:marRight w:val="0"/>
      <w:marTop w:val="0"/>
      <w:marBottom w:val="0"/>
      <w:divBdr>
        <w:top w:val="none" w:sz="0" w:space="0" w:color="auto"/>
        <w:left w:val="none" w:sz="0" w:space="0" w:color="auto"/>
        <w:bottom w:val="none" w:sz="0" w:space="0" w:color="auto"/>
        <w:right w:val="none" w:sz="0" w:space="0" w:color="auto"/>
      </w:divBdr>
    </w:div>
    <w:div w:id="81420112">
      <w:bodyDiv w:val="1"/>
      <w:marLeft w:val="0"/>
      <w:marRight w:val="0"/>
      <w:marTop w:val="0"/>
      <w:marBottom w:val="0"/>
      <w:divBdr>
        <w:top w:val="none" w:sz="0" w:space="0" w:color="auto"/>
        <w:left w:val="none" w:sz="0" w:space="0" w:color="auto"/>
        <w:bottom w:val="none" w:sz="0" w:space="0" w:color="auto"/>
        <w:right w:val="none" w:sz="0" w:space="0" w:color="auto"/>
      </w:divBdr>
    </w:div>
    <w:div w:id="133529000">
      <w:bodyDiv w:val="1"/>
      <w:marLeft w:val="0"/>
      <w:marRight w:val="0"/>
      <w:marTop w:val="0"/>
      <w:marBottom w:val="0"/>
      <w:divBdr>
        <w:top w:val="none" w:sz="0" w:space="0" w:color="auto"/>
        <w:left w:val="none" w:sz="0" w:space="0" w:color="auto"/>
        <w:bottom w:val="none" w:sz="0" w:space="0" w:color="auto"/>
        <w:right w:val="none" w:sz="0" w:space="0" w:color="auto"/>
      </w:divBdr>
    </w:div>
    <w:div w:id="144519115">
      <w:bodyDiv w:val="1"/>
      <w:marLeft w:val="0"/>
      <w:marRight w:val="0"/>
      <w:marTop w:val="0"/>
      <w:marBottom w:val="0"/>
      <w:divBdr>
        <w:top w:val="none" w:sz="0" w:space="0" w:color="auto"/>
        <w:left w:val="none" w:sz="0" w:space="0" w:color="auto"/>
        <w:bottom w:val="none" w:sz="0" w:space="0" w:color="auto"/>
        <w:right w:val="none" w:sz="0" w:space="0" w:color="auto"/>
      </w:divBdr>
    </w:div>
    <w:div w:id="145317866">
      <w:bodyDiv w:val="1"/>
      <w:marLeft w:val="0"/>
      <w:marRight w:val="0"/>
      <w:marTop w:val="0"/>
      <w:marBottom w:val="0"/>
      <w:divBdr>
        <w:top w:val="none" w:sz="0" w:space="0" w:color="auto"/>
        <w:left w:val="none" w:sz="0" w:space="0" w:color="auto"/>
        <w:bottom w:val="none" w:sz="0" w:space="0" w:color="auto"/>
        <w:right w:val="none" w:sz="0" w:space="0" w:color="auto"/>
      </w:divBdr>
      <w:divsChild>
        <w:div w:id="1296445582">
          <w:marLeft w:val="0"/>
          <w:marRight w:val="0"/>
          <w:marTop w:val="0"/>
          <w:marBottom w:val="0"/>
          <w:divBdr>
            <w:top w:val="none" w:sz="0" w:space="0" w:color="auto"/>
            <w:left w:val="none" w:sz="0" w:space="0" w:color="auto"/>
            <w:bottom w:val="none" w:sz="0" w:space="0" w:color="auto"/>
            <w:right w:val="none" w:sz="0" w:space="0" w:color="auto"/>
          </w:divBdr>
        </w:div>
        <w:div w:id="1249001487">
          <w:marLeft w:val="0"/>
          <w:marRight w:val="0"/>
          <w:marTop w:val="0"/>
          <w:marBottom w:val="0"/>
          <w:divBdr>
            <w:top w:val="none" w:sz="0" w:space="0" w:color="auto"/>
            <w:left w:val="none" w:sz="0" w:space="0" w:color="auto"/>
            <w:bottom w:val="none" w:sz="0" w:space="0" w:color="auto"/>
            <w:right w:val="none" w:sz="0" w:space="0" w:color="auto"/>
          </w:divBdr>
        </w:div>
        <w:div w:id="508105509">
          <w:marLeft w:val="0"/>
          <w:marRight w:val="0"/>
          <w:marTop w:val="0"/>
          <w:marBottom w:val="0"/>
          <w:divBdr>
            <w:top w:val="none" w:sz="0" w:space="0" w:color="auto"/>
            <w:left w:val="none" w:sz="0" w:space="0" w:color="auto"/>
            <w:bottom w:val="none" w:sz="0" w:space="0" w:color="auto"/>
            <w:right w:val="none" w:sz="0" w:space="0" w:color="auto"/>
          </w:divBdr>
        </w:div>
        <w:div w:id="2044209825">
          <w:marLeft w:val="0"/>
          <w:marRight w:val="0"/>
          <w:marTop w:val="0"/>
          <w:marBottom w:val="0"/>
          <w:divBdr>
            <w:top w:val="none" w:sz="0" w:space="0" w:color="auto"/>
            <w:left w:val="none" w:sz="0" w:space="0" w:color="auto"/>
            <w:bottom w:val="none" w:sz="0" w:space="0" w:color="auto"/>
            <w:right w:val="none" w:sz="0" w:space="0" w:color="auto"/>
          </w:divBdr>
        </w:div>
      </w:divsChild>
    </w:div>
    <w:div w:id="155195715">
      <w:bodyDiv w:val="1"/>
      <w:marLeft w:val="0"/>
      <w:marRight w:val="0"/>
      <w:marTop w:val="0"/>
      <w:marBottom w:val="0"/>
      <w:divBdr>
        <w:top w:val="none" w:sz="0" w:space="0" w:color="auto"/>
        <w:left w:val="none" w:sz="0" w:space="0" w:color="auto"/>
        <w:bottom w:val="none" w:sz="0" w:space="0" w:color="auto"/>
        <w:right w:val="none" w:sz="0" w:space="0" w:color="auto"/>
      </w:divBdr>
    </w:div>
    <w:div w:id="238294846">
      <w:bodyDiv w:val="1"/>
      <w:marLeft w:val="0"/>
      <w:marRight w:val="0"/>
      <w:marTop w:val="0"/>
      <w:marBottom w:val="0"/>
      <w:divBdr>
        <w:top w:val="none" w:sz="0" w:space="0" w:color="auto"/>
        <w:left w:val="none" w:sz="0" w:space="0" w:color="auto"/>
        <w:bottom w:val="none" w:sz="0" w:space="0" w:color="auto"/>
        <w:right w:val="none" w:sz="0" w:space="0" w:color="auto"/>
      </w:divBdr>
    </w:div>
    <w:div w:id="276107529">
      <w:bodyDiv w:val="1"/>
      <w:marLeft w:val="0"/>
      <w:marRight w:val="0"/>
      <w:marTop w:val="0"/>
      <w:marBottom w:val="0"/>
      <w:divBdr>
        <w:top w:val="none" w:sz="0" w:space="0" w:color="auto"/>
        <w:left w:val="none" w:sz="0" w:space="0" w:color="auto"/>
        <w:bottom w:val="none" w:sz="0" w:space="0" w:color="auto"/>
        <w:right w:val="none" w:sz="0" w:space="0" w:color="auto"/>
      </w:divBdr>
      <w:divsChild>
        <w:div w:id="1172380859">
          <w:marLeft w:val="547"/>
          <w:marRight w:val="0"/>
          <w:marTop w:val="86"/>
          <w:marBottom w:val="0"/>
          <w:divBdr>
            <w:top w:val="none" w:sz="0" w:space="0" w:color="auto"/>
            <w:left w:val="none" w:sz="0" w:space="0" w:color="auto"/>
            <w:bottom w:val="none" w:sz="0" w:space="0" w:color="auto"/>
            <w:right w:val="none" w:sz="0" w:space="0" w:color="auto"/>
          </w:divBdr>
        </w:div>
        <w:div w:id="1619289850">
          <w:marLeft w:val="547"/>
          <w:marRight w:val="0"/>
          <w:marTop w:val="86"/>
          <w:marBottom w:val="0"/>
          <w:divBdr>
            <w:top w:val="none" w:sz="0" w:space="0" w:color="auto"/>
            <w:left w:val="none" w:sz="0" w:space="0" w:color="auto"/>
            <w:bottom w:val="none" w:sz="0" w:space="0" w:color="auto"/>
            <w:right w:val="none" w:sz="0" w:space="0" w:color="auto"/>
          </w:divBdr>
        </w:div>
        <w:div w:id="1843937038">
          <w:marLeft w:val="547"/>
          <w:marRight w:val="0"/>
          <w:marTop w:val="86"/>
          <w:marBottom w:val="0"/>
          <w:divBdr>
            <w:top w:val="none" w:sz="0" w:space="0" w:color="auto"/>
            <w:left w:val="none" w:sz="0" w:space="0" w:color="auto"/>
            <w:bottom w:val="none" w:sz="0" w:space="0" w:color="auto"/>
            <w:right w:val="none" w:sz="0" w:space="0" w:color="auto"/>
          </w:divBdr>
        </w:div>
      </w:divsChild>
    </w:div>
    <w:div w:id="289283845">
      <w:bodyDiv w:val="1"/>
      <w:marLeft w:val="0"/>
      <w:marRight w:val="0"/>
      <w:marTop w:val="0"/>
      <w:marBottom w:val="0"/>
      <w:divBdr>
        <w:top w:val="none" w:sz="0" w:space="0" w:color="auto"/>
        <w:left w:val="none" w:sz="0" w:space="0" w:color="auto"/>
        <w:bottom w:val="none" w:sz="0" w:space="0" w:color="auto"/>
        <w:right w:val="none" w:sz="0" w:space="0" w:color="auto"/>
      </w:divBdr>
      <w:divsChild>
        <w:div w:id="1017779055">
          <w:marLeft w:val="0"/>
          <w:marRight w:val="0"/>
          <w:marTop w:val="0"/>
          <w:marBottom w:val="0"/>
          <w:divBdr>
            <w:top w:val="none" w:sz="0" w:space="0" w:color="auto"/>
            <w:left w:val="none" w:sz="0" w:space="0" w:color="auto"/>
            <w:bottom w:val="none" w:sz="0" w:space="0" w:color="auto"/>
            <w:right w:val="none" w:sz="0" w:space="0" w:color="auto"/>
          </w:divBdr>
          <w:divsChild>
            <w:div w:id="638266473">
              <w:marLeft w:val="0"/>
              <w:marRight w:val="0"/>
              <w:marTop w:val="0"/>
              <w:marBottom w:val="0"/>
              <w:divBdr>
                <w:top w:val="none" w:sz="0" w:space="0" w:color="auto"/>
                <w:left w:val="none" w:sz="0" w:space="0" w:color="auto"/>
                <w:bottom w:val="none" w:sz="0" w:space="0" w:color="auto"/>
                <w:right w:val="none" w:sz="0" w:space="0" w:color="auto"/>
              </w:divBdr>
              <w:divsChild>
                <w:div w:id="1087536745">
                  <w:marLeft w:val="0"/>
                  <w:marRight w:val="0"/>
                  <w:marTop w:val="0"/>
                  <w:marBottom w:val="0"/>
                  <w:divBdr>
                    <w:top w:val="none" w:sz="0" w:space="0" w:color="auto"/>
                    <w:left w:val="none" w:sz="0" w:space="0" w:color="auto"/>
                    <w:bottom w:val="none" w:sz="0" w:space="0" w:color="auto"/>
                    <w:right w:val="none" w:sz="0" w:space="0" w:color="auto"/>
                  </w:divBdr>
                  <w:divsChild>
                    <w:div w:id="2021200499">
                      <w:marLeft w:val="0"/>
                      <w:marRight w:val="0"/>
                      <w:marTop w:val="0"/>
                      <w:marBottom w:val="0"/>
                      <w:divBdr>
                        <w:top w:val="none" w:sz="0" w:space="0" w:color="auto"/>
                        <w:left w:val="none" w:sz="0" w:space="0" w:color="auto"/>
                        <w:bottom w:val="none" w:sz="0" w:space="0" w:color="auto"/>
                        <w:right w:val="none" w:sz="0" w:space="0" w:color="auto"/>
                      </w:divBdr>
                      <w:divsChild>
                        <w:div w:id="947352043">
                          <w:marLeft w:val="0"/>
                          <w:marRight w:val="0"/>
                          <w:marTop w:val="0"/>
                          <w:marBottom w:val="0"/>
                          <w:divBdr>
                            <w:top w:val="none" w:sz="0" w:space="0" w:color="auto"/>
                            <w:left w:val="none" w:sz="0" w:space="0" w:color="auto"/>
                            <w:bottom w:val="none" w:sz="0" w:space="0" w:color="auto"/>
                            <w:right w:val="none" w:sz="0" w:space="0" w:color="auto"/>
                          </w:divBdr>
                          <w:divsChild>
                            <w:div w:id="598292832">
                              <w:marLeft w:val="0"/>
                              <w:marRight w:val="0"/>
                              <w:marTop w:val="0"/>
                              <w:marBottom w:val="0"/>
                              <w:divBdr>
                                <w:top w:val="none" w:sz="0" w:space="0" w:color="auto"/>
                                <w:left w:val="none" w:sz="0" w:space="0" w:color="auto"/>
                                <w:bottom w:val="none" w:sz="0" w:space="0" w:color="auto"/>
                                <w:right w:val="none" w:sz="0" w:space="0" w:color="auto"/>
                              </w:divBdr>
                              <w:divsChild>
                                <w:div w:id="127433167">
                                  <w:marLeft w:val="0"/>
                                  <w:marRight w:val="0"/>
                                  <w:marTop w:val="180"/>
                                  <w:marBottom w:val="0"/>
                                  <w:divBdr>
                                    <w:top w:val="none" w:sz="0" w:space="0" w:color="auto"/>
                                    <w:left w:val="none" w:sz="0" w:space="0" w:color="auto"/>
                                    <w:bottom w:val="none" w:sz="0" w:space="0" w:color="auto"/>
                                    <w:right w:val="none" w:sz="0" w:space="0" w:color="auto"/>
                                  </w:divBdr>
                                  <w:divsChild>
                                    <w:div w:id="1662655473">
                                      <w:marLeft w:val="0"/>
                                      <w:marRight w:val="0"/>
                                      <w:marTop w:val="0"/>
                                      <w:marBottom w:val="0"/>
                                      <w:divBdr>
                                        <w:top w:val="none" w:sz="0" w:space="0" w:color="auto"/>
                                        <w:left w:val="none" w:sz="0" w:space="0" w:color="auto"/>
                                        <w:bottom w:val="none" w:sz="0" w:space="0" w:color="auto"/>
                                        <w:right w:val="none" w:sz="0" w:space="0" w:color="auto"/>
                                      </w:divBdr>
                                      <w:divsChild>
                                        <w:div w:id="1516773944">
                                          <w:marLeft w:val="0"/>
                                          <w:marRight w:val="0"/>
                                          <w:marTop w:val="0"/>
                                          <w:marBottom w:val="0"/>
                                          <w:divBdr>
                                            <w:top w:val="none" w:sz="0" w:space="0" w:color="auto"/>
                                            <w:left w:val="none" w:sz="0" w:space="0" w:color="auto"/>
                                            <w:bottom w:val="none" w:sz="0" w:space="0" w:color="auto"/>
                                            <w:right w:val="none" w:sz="0" w:space="0" w:color="auto"/>
                                          </w:divBdr>
                                          <w:divsChild>
                                            <w:div w:id="1761221903">
                                              <w:marLeft w:val="0"/>
                                              <w:marRight w:val="0"/>
                                              <w:marTop w:val="0"/>
                                              <w:marBottom w:val="0"/>
                                              <w:divBdr>
                                                <w:top w:val="none" w:sz="0" w:space="0" w:color="auto"/>
                                                <w:left w:val="none" w:sz="0" w:space="0" w:color="auto"/>
                                                <w:bottom w:val="none" w:sz="0" w:space="0" w:color="auto"/>
                                                <w:right w:val="none" w:sz="0" w:space="0" w:color="auto"/>
                                              </w:divBdr>
                                              <w:divsChild>
                                                <w:div w:id="622351408">
                                                  <w:marLeft w:val="0"/>
                                                  <w:marRight w:val="0"/>
                                                  <w:marTop w:val="0"/>
                                                  <w:marBottom w:val="240"/>
                                                  <w:divBdr>
                                                    <w:top w:val="none" w:sz="0" w:space="0" w:color="auto"/>
                                                    <w:left w:val="none" w:sz="0" w:space="0" w:color="auto"/>
                                                    <w:bottom w:val="none" w:sz="0" w:space="0" w:color="auto"/>
                                                    <w:right w:val="none" w:sz="0" w:space="0" w:color="auto"/>
                                                  </w:divBdr>
                                                  <w:divsChild>
                                                    <w:div w:id="21102823">
                                                      <w:marLeft w:val="0"/>
                                                      <w:marRight w:val="0"/>
                                                      <w:marTop w:val="0"/>
                                                      <w:marBottom w:val="0"/>
                                                      <w:divBdr>
                                                        <w:top w:val="none" w:sz="0" w:space="0" w:color="auto"/>
                                                        <w:left w:val="none" w:sz="0" w:space="0" w:color="auto"/>
                                                        <w:bottom w:val="none" w:sz="0" w:space="0" w:color="auto"/>
                                                        <w:right w:val="none" w:sz="0" w:space="0" w:color="auto"/>
                                                      </w:divBdr>
                                                      <w:divsChild>
                                                        <w:div w:id="201353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02080025">
      <w:bodyDiv w:val="1"/>
      <w:marLeft w:val="0"/>
      <w:marRight w:val="0"/>
      <w:marTop w:val="0"/>
      <w:marBottom w:val="0"/>
      <w:divBdr>
        <w:top w:val="none" w:sz="0" w:space="0" w:color="auto"/>
        <w:left w:val="none" w:sz="0" w:space="0" w:color="auto"/>
        <w:bottom w:val="none" w:sz="0" w:space="0" w:color="auto"/>
        <w:right w:val="none" w:sz="0" w:space="0" w:color="auto"/>
      </w:divBdr>
    </w:div>
    <w:div w:id="321158958">
      <w:bodyDiv w:val="1"/>
      <w:marLeft w:val="0"/>
      <w:marRight w:val="0"/>
      <w:marTop w:val="0"/>
      <w:marBottom w:val="0"/>
      <w:divBdr>
        <w:top w:val="none" w:sz="0" w:space="0" w:color="auto"/>
        <w:left w:val="none" w:sz="0" w:space="0" w:color="auto"/>
        <w:bottom w:val="none" w:sz="0" w:space="0" w:color="auto"/>
        <w:right w:val="none" w:sz="0" w:space="0" w:color="auto"/>
      </w:divBdr>
    </w:div>
    <w:div w:id="373045308">
      <w:bodyDiv w:val="1"/>
      <w:marLeft w:val="0"/>
      <w:marRight w:val="0"/>
      <w:marTop w:val="0"/>
      <w:marBottom w:val="0"/>
      <w:divBdr>
        <w:top w:val="none" w:sz="0" w:space="0" w:color="auto"/>
        <w:left w:val="none" w:sz="0" w:space="0" w:color="auto"/>
        <w:bottom w:val="none" w:sz="0" w:space="0" w:color="auto"/>
        <w:right w:val="none" w:sz="0" w:space="0" w:color="auto"/>
      </w:divBdr>
    </w:div>
    <w:div w:id="382102193">
      <w:bodyDiv w:val="1"/>
      <w:marLeft w:val="0"/>
      <w:marRight w:val="0"/>
      <w:marTop w:val="0"/>
      <w:marBottom w:val="0"/>
      <w:divBdr>
        <w:top w:val="none" w:sz="0" w:space="0" w:color="auto"/>
        <w:left w:val="none" w:sz="0" w:space="0" w:color="auto"/>
        <w:bottom w:val="none" w:sz="0" w:space="0" w:color="auto"/>
        <w:right w:val="none" w:sz="0" w:space="0" w:color="auto"/>
      </w:divBdr>
    </w:div>
    <w:div w:id="400950118">
      <w:bodyDiv w:val="1"/>
      <w:marLeft w:val="0"/>
      <w:marRight w:val="0"/>
      <w:marTop w:val="0"/>
      <w:marBottom w:val="0"/>
      <w:divBdr>
        <w:top w:val="none" w:sz="0" w:space="0" w:color="auto"/>
        <w:left w:val="none" w:sz="0" w:space="0" w:color="auto"/>
        <w:bottom w:val="none" w:sz="0" w:space="0" w:color="auto"/>
        <w:right w:val="none" w:sz="0" w:space="0" w:color="auto"/>
      </w:divBdr>
    </w:div>
    <w:div w:id="404763371">
      <w:bodyDiv w:val="1"/>
      <w:marLeft w:val="0"/>
      <w:marRight w:val="0"/>
      <w:marTop w:val="0"/>
      <w:marBottom w:val="0"/>
      <w:divBdr>
        <w:top w:val="none" w:sz="0" w:space="0" w:color="auto"/>
        <w:left w:val="none" w:sz="0" w:space="0" w:color="auto"/>
        <w:bottom w:val="none" w:sz="0" w:space="0" w:color="auto"/>
        <w:right w:val="none" w:sz="0" w:space="0" w:color="auto"/>
      </w:divBdr>
    </w:div>
    <w:div w:id="426467842">
      <w:bodyDiv w:val="1"/>
      <w:marLeft w:val="0"/>
      <w:marRight w:val="0"/>
      <w:marTop w:val="0"/>
      <w:marBottom w:val="0"/>
      <w:divBdr>
        <w:top w:val="none" w:sz="0" w:space="0" w:color="auto"/>
        <w:left w:val="none" w:sz="0" w:space="0" w:color="auto"/>
        <w:bottom w:val="none" w:sz="0" w:space="0" w:color="auto"/>
        <w:right w:val="none" w:sz="0" w:space="0" w:color="auto"/>
      </w:divBdr>
    </w:div>
    <w:div w:id="435294271">
      <w:bodyDiv w:val="1"/>
      <w:marLeft w:val="0"/>
      <w:marRight w:val="0"/>
      <w:marTop w:val="0"/>
      <w:marBottom w:val="0"/>
      <w:divBdr>
        <w:top w:val="none" w:sz="0" w:space="0" w:color="auto"/>
        <w:left w:val="none" w:sz="0" w:space="0" w:color="auto"/>
        <w:bottom w:val="none" w:sz="0" w:space="0" w:color="auto"/>
        <w:right w:val="none" w:sz="0" w:space="0" w:color="auto"/>
      </w:divBdr>
    </w:div>
    <w:div w:id="471482514">
      <w:bodyDiv w:val="1"/>
      <w:marLeft w:val="0"/>
      <w:marRight w:val="0"/>
      <w:marTop w:val="0"/>
      <w:marBottom w:val="0"/>
      <w:divBdr>
        <w:top w:val="none" w:sz="0" w:space="0" w:color="auto"/>
        <w:left w:val="none" w:sz="0" w:space="0" w:color="auto"/>
        <w:bottom w:val="none" w:sz="0" w:space="0" w:color="auto"/>
        <w:right w:val="none" w:sz="0" w:space="0" w:color="auto"/>
      </w:divBdr>
    </w:div>
    <w:div w:id="475267344">
      <w:bodyDiv w:val="1"/>
      <w:marLeft w:val="0"/>
      <w:marRight w:val="0"/>
      <w:marTop w:val="0"/>
      <w:marBottom w:val="0"/>
      <w:divBdr>
        <w:top w:val="none" w:sz="0" w:space="0" w:color="auto"/>
        <w:left w:val="none" w:sz="0" w:space="0" w:color="auto"/>
        <w:bottom w:val="none" w:sz="0" w:space="0" w:color="auto"/>
        <w:right w:val="none" w:sz="0" w:space="0" w:color="auto"/>
      </w:divBdr>
    </w:div>
    <w:div w:id="520626594">
      <w:bodyDiv w:val="1"/>
      <w:marLeft w:val="0"/>
      <w:marRight w:val="0"/>
      <w:marTop w:val="0"/>
      <w:marBottom w:val="0"/>
      <w:divBdr>
        <w:top w:val="none" w:sz="0" w:space="0" w:color="auto"/>
        <w:left w:val="none" w:sz="0" w:space="0" w:color="auto"/>
        <w:bottom w:val="none" w:sz="0" w:space="0" w:color="auto"/>
        <w:right w:val="none" w:sz="0" w:space="0" w:color="auto"/>
      </w:divBdr>
    </w:div>
    <w:div w:id="535125198">
      <w:bodyDiv w:val="1"/>
      <w:marLeft w:val="0"/>
      <w:marRight w:val="0"/>
      <w:marTop w:val="0"/>
      <w:marBottom w:val="0"/>
      <w:divBdr>
        <w:top w:val="none" w:sz="0" w:space="0" w:color="auto"/>
        <w:left w:val="none" w:sz="0" w:space="0" w:color="auto"/>
        <w:bottom w:val="none" w:sz="0" w:space="0" w:color="auto"/>
        <w:right w:val="none" w:sz="0" w:space="0" w:color="auto"/>
      </w:divBdr>
    </w:div>
    <w:div w:id="547692802">
      <w:bodyDiv w:val="1"/>
      <w:marLeft w:val="0"/>
      <w:marRight w:val="0"/>
      <w:marTop w:val="0"/>
      <w:marBottom w:val="0"/>
      <w:divBdr>
        <w:top w:val="none" w:sz="0" w:space="0" w:color="auto"/>
        <w:left w:val="none" w:sz="0" w:space="0" w:color="auto"/>
        <w:bottom w:val="none" w:sz="0" w:space="0" w:color="auto"/>
        <w:right w:val="none" w:sz="0" w:space="0" w:color="auto"/>
      </w:divBdr>
    </w:div>
    <w:div w:id="585501262">
      <w:bodyDiv w:val="1"/>
      <w:marLeft w:val="0"/>
      <w:marRight w:val="0"/>
      <w:marTop w:val="0"/>
      <w:marBottom w:val="0"/>
      <w:divBdr>
        <w:top w:val="none" w:sz="0" w:space="0" w:color="auto"/>
        <w:left w:val="none" w:sz="0" w:space="0" w:color="auto"/>
        <w:bottom w:val="none" w:sz="0" w:space="0" w:color="auto"/>
        <w:right w:val="none" w:sz="0" w:space="0" w:color="auto"/>
      </w:divBdr>
      <w:divsChild>
        <w:div w:id="910652355">
          <w:marLeft w:val="0"/>
          <w:marRight w:val="0"/>
          <w:marTop w:val="0"/>
          <w:marBottom w:val="0"/>
          <w:divBdr>
            <w:top w:val="none" w:sz="0" w:space="0" w:color="auto"/>
            <w:left w:val="none" w:sz="0" w:space="0" w:color="auto"/>
            <w:bottom w:val="none" w:sz="0" w:space="0" w:color="auto"/>
            <w:right w:val="none" w:sz="0" w:space="0" w:color="auto"/>
          </w:divBdr>
        </w:div>
        <w:div w:id="1011832935">
          <w:marLeft w:val="0"/>
          <w:marRight w:val="0"/>
          <w:marTop w:val="0"/>
          <w:marBottom w:val="0"/>
          <w:divBdr>
            <w:top w:val="none" w:sz="0" w:space="0" w:color="auto"/>
            <w:left w:val="none" w:sz="0" w:space="0" w:color="auto"/>
            <w:bottom w:val="none" w:sz="0" w:space="0" w:color="auto"/>
            <w:right w:val="none" w:sz="0" w:space="0" w:color="auto"/>
          </w:divBdr>
        </w:div>
        <w:div w:id="137574016">
          <w:marLeft w:val="0"/>
          <w:marRight w:val="0"/>
          <w:marTop w:val="0"/>
          <w:marBottom w:val="0"/>
          <w:divBdr>
            <w:top w:val="none" w:sz="0" w:space="0" w:color="auto"/>
            <w:left w:val="none" w:sz="0" w:space="0" w:color="auto"/>
            <w:bottom w:val="none" w:sz="0" w:space="0" w:color="auto"/>
            <w:right w:val="none" w:sz="0" w:space="0" w:color="auto"/>
          </w:divBdr>
        </w:div>
        <w:div w:id="1757438617">
          <w:marLeft w:val="0"/>
          <w:marRight w:val="0"/>
          <w:marTop w:val="0"/>
          <w:marBottom w:val="0"/>
          <w:divBdr>
            <w:top w:val="none" w:sz="0" w:space="0" w:color="auto"/>
            <w:left w:val="none" w:sz="0" w:space="0" w:color="auto"/>
            <w:bottom w:val="none" w:sz="0" w:space="0" w:color="auto"/>
            <w:right w:val="none" w:sz="0" w:space="0" w:color="auto"/>
          </w:divBdr>
        </w:div>
      </w:divsChild>
    </w:div>
    <w:div w:id="586302681">
      <w:bodyDiv w:val="1"/>
      <w:marLeft w:val="0"/>
      <w:marRight w:val="0"/>
      <w:marTop w:val="0"/>
      <w:marBottom w:val="0"/>
      <w:divBdr>
        <w:top w:val="none" w:sz="0" w:space="0" w:color="auto"/>
        <w:left w:val="none" w:sz="0" w:space="0" w:color="auto"/>
        <w:bottom w:val="none" w:sz="0" w:space="0" w:color="auto"/>
        <w:right w:val="none" w:sz="0" w:space="0" w:color="auto"/>
      </w:divBdr>
      <w:divsChild>
        <w:div w:id="2037651927">
          <w:marLeft w:val="0"/>
          <w:marRight w:val="0"/>
          <w:marTop w:val="0"/>
          <w:marBottom w:val="0"/>
          <w:divBdr>
            <w:top w:val="none" w:sz="0" w:space="0" w:color="auto"/>
            <w:left w:val="none" w:sz="0" w:space="0" w:color="auto"/>
            <w:bottom w:val="none" w:sz="0" w:space="0" w:color="auto"/>
            <w:right w:val="none" w:sz="0" w:space="0" w:color="auto"/>
          </w:divBdr>
        </w:div>
        <w:div w:id="1753622388">
          <w:marLeft w:val="0"/>
          <w:marRight w:val="0"/>
          <w:marTop w:val="0"/>
          <w:marBottom w:val="0"/>
          <w:divBdr>
            <w:top w:val="none" w:sz="0" w:space="0" w:color="auto"/>
            <w:left w:val="none" w:sz="0" w:space="0" w:color="auto"/>
            <w:bottom w:val="none" w:sz="0" w:space="0" w:color="auto"/>
            <w:right w:val="none" w:sz="0" w:space="0" w:color="auto"/>
          </w:divBdr>
        </w:div>
        <w:div w:id="817235382">
          <w:marLeft w:val="0"/>
          <w:marRight w:val="0"/>
          <w:marTop w:val="0"/>
          <w:marBottom w:val="0"/>
          <w:divBdr>
            <w:top w:val="none" w:sz="0" w:space="0" w:color="auto"/>
            <w:left w:val="none" w:sz="0" w:space="0" w:color="auto"/>
            <w:bottom w:val="none" w:sz="0" w:space="0" w:color="auto"/>
            <w:right w:val="none" w:sz="0" w:space="0" w:color="auto"/>
          </w:divBdr>
        </w:div>
      </w:divsChild>
    </w:div>
    <w:div w:id="595558041">
      <w:bodyDiv w:val="1"/>
      <w:marLeft w:val="0"/>
      <w:marRight w:val="0"/>
      <w:marTop w:val="0"/>
      <w:marBottom w:val="0"/>
      <w:divBdr>
        <w:top w:val="none" w:sz="0" w:space="0" w:color="auto"/>
        <w:left w:val="none" w:sz="0" w:space="0" w:color="auto"/>
        <w:bottom w:val="none" w:sz="0" w:space="0" w:color="auto"/>
        <w:right w:val="none" w:sz="0" w:space="0" w:color="auto"/>
      </w:divBdr>
    </w:div>
    <w:div w:id="627126575">
      <w:bodyDiv w:val="1"/>
      <w:marLeft w:val="0"/>
      <w:marRight w:val="0"/>
      <w:marTop w:val="0"/>
      <w:marBottom w:val="0"/>
      <w:divBdr>
        <w:top w:val="none" w:sz="0" w:space="0" w:color="auto"/>
        <w:left w:val="none" w:sz="0" w:space="0" w:color="auto"/>
        <w:bottom w:val="none" w:sz="0" w:space="0" w:color="auto"/>
        <w:right w:val="none" w:sz="0" w:space="0" w:color="auto"/>
      </w:divBdr>
    </w:div>
    <w:div w:id="658846683">
      <w:bodyDiv w:val="1"/>
      <w:marLeft w:val="0"/>
      <w:marRight w:val="0"/>
      <w:marTop w:val="0"/>
      <w:marBottom w:val="0"/>
      <w:divBdr>
        <w:top w:val="none" w:sz="0" w:space="0" w:color="auto"/>
        <w:left w:val="none" w:sz="0" w:space="0" w:color="auto"/>
        <w:bottom w:val="none" w:sz="0" w:space="0" w:color="auto"/>
        <w:right w:val="none" w:sz="0" w:space="0" w:color="auto"/>
      </w:divBdr>
    </w:div>
    <w:div w:id="714813342">
      <w:bodyDiv w:val="1"/>
      <w:marLeft w:val="0"/>
      <w:marRight w:val="0"/>
      <w:marTop w:val="0"/>
      <w:marBottom w:val="0"/>
      <w:divBdr>
        <w:top w:val="none" w:sz="0" w:space="0" w:color="auto"/>
        <w:left w:val="none" w:sz="0" w:space="0" w:color="auto"/>
        <w:bottom w:val="none" w:sz="0" w:space="0" w:color="auto"/>
        <w:right w:val="none" w:sz="0" w:space="0" w:color="auto"/>
      </w:divBdr>
    </w:div>
    <w:div w:id="720713268">
      <w:bodyDiv w:val="1"/>
      <w:marLeft w:val="0"/>
      <w:marRight w:val="0"/>
      <w:marTop w:val="0"/>
      <w:marBottom w:val="0"/>
      <w:divBdr>
        <w:top w:val="none" w:sz="0" w:space="0" w:color="auto"/>
        <w:left w:val="none" w:sz="0" w:space="0" w:color="auto"/>
        <w:bottom w:val="none" w:sz="0" w:space="0" w:color="auto"/>
        <w:right w:val="none" w:sz="0" w:space="0" w:color="auto"/>
      </w:divBdr>
    </w:div>
    <w:div w:id="729887188">
      <w:bodyDiv w:val="1"/>
      <w:marLeft w:val="0"/>
      <w:marRight w:val="0"/>
      <w:marTop w:val="0"/>
      <w:marBottom w:val="0"/>
      <w:divBdr>
        <w:top w:val="none" w:sz="0" w:space="0" w:color="auto"/>
        <w:left w:val="none" w:sz="0" w:space="0" w:color="auto"/>
        <w:bottom w:val="none" w:sz="0" w:space="0" w:color="auto"/>
        <w:right w:val="none" w:sz="0" w:space="0" w:color="auto"/>
      </w:divBdr>
    </w:div>
    <w:div w:id="729963091">
      <w:bodyDiv w:val="1"/>
      <w:marLeft w:val="0"/>
      <w:marRight w:val="0"/>
      <w:marTop w:val="0"/>
      <w:marBottom w:val="0"/>
      <w:divBdr>
        <w:top w:val="none" w:sz="0" w:space="0" w:color="auto"/>
        <w:left w:val="none" w:sz="0" w:space="0" w:color="auto"/>
        <w:bottom w:val="none" w:sz="0" w:space="0" w:color="auto"/>
        <w:right w:val="none" w:sz="0" w:space="0" w:color="auto"/>
      </w:divBdr>
    </w:div>
    <w:div w:id="760566357">
      <w:bodyDiv w:val="1"/>
      <w:marLeft w:val="0"/>
      <w:marRight w:val="0"/>
      <w:marTop w:val="0"/>
      <w:marBottom w:val="0"/>
      <w:divBdr>
        <w:top w:val="none" w:sz="0" w:space="0" w:color="auto"/>
        <w:left w:val="none" w:sz="0" w:space="0" w:color="auto"/>
        <w:bottom w:val="none" w:sz="0" w:space="0" w:color="auto"/>
        <w:right w:val="none" w:sz="0" w:space="0" w:color="auto"/>
      </w:divBdr>
    </w:div>
    <w:div w:id="803279773">
      <w:bodyDiv w:val="1"/>
      <w:marLeft w:val="0"/>
      <w:marRight w:val="0"/>
      <w:marTop w:val="0"/>
      <w:marBottom w:val="0"/>
      <w:divBdr>
        <w:top w:val="none" w:sz="0" w:space="0" w:color="auto"/>
        <w:left w:val="none" w:sz="0" w:space="0" w:color="auto"/>
        <w:bottom w:val="none" w:sz="0" w:space="0" w:color="auto"/>
        <w:right w:val="none" w:sz="0" w:space="0" w:color="auto"/>
      </w:divBdr>
    </w:div>
    <w:div w:id="803427068">
      <w:bodyDiv w:val="1"/>
      <w:marLeft w:val="0"/>
      <w:marRight w:val="0"/>
      <w:marTop w:val="0"/>
      <w:marBottom w:val="0"/>
      <w:divBdr>
        <w:top w:val="none" w:sz="0" w:space="0" w:color="auto"/>
        <w:left w:val="none" w:sz="0" w:space="0" w:color="auto"/>
        <w:bottom w:val="none" w:sz="0" w:space="0" w:color="auto"/>
        <w:right w:val="none" w:sz="0" w:space="0" w:color="auto"/>
      </w:divBdr>
    </w:div>
    <w:div w:id="830751694">
      <w:bodyDiv w:val="1"/>
      <w:marLeft w:val="0"/>
      <w:marRight w:val="0"/>
      <w:marTop w:val="0"/>
      <w:marBottom w:val="0"/>
      <w:divBdr>
        <w:top w:val="none" w:sz="0" w:space="0" w:color="auto"/>
        <w:left w:val="none" w:sz="0" w:space="0" w:color="auto"/>
        <w:bottom w:val="none" w:sz="0" w:space="0" w:color="auto"/>
        <w:right w:val="none" w:sz="0" w:space="0" w:color="auto"/>
      </w:divBdr>
    </w:div>
    <w:div w:id="859464864">
      <w:bodyDiv w:val="1"/>
      <w:marLeft w:val="0"/>
      <w:marRight w:val="0"/>
      <w:marTop w:val="0"/>
      <w:marBottom w:val="0"/>
      <w:divBdr>
        <w:top w:val="none" w:sz="0" w:space="0" w:color="auto"/>
        <w:left w:val="none" w:sz="0" w:space="0" w:color="auto"/>
        <w:bottom w:val="none" w:sz="0" w:space="0" w:color="auto"/>
        <w:right w:val="none" w:sz="0" w:space="0" w:color="auto"/>
      </w:divBdr>
    </w:div>
    <w:div w:id="864320308">
      <w:bodyDiv w:val="1"/>
      <w:marLeft w:val="0"/>
      <w:marRight w:val="0"/>
      <w:marTop w:val="0"/>
      <w:marBottom w:val="0"/>
      <w:divBdr>
        <w:top w:val="none" w:sz="0" w:space="0" w:color="auto"/>
        <w:left w:val="none" w:sz="0" w:space="0" w:color="auto"/>
        <w:bottom w:val="none" w:sz="0" w:space="0" w:color="auto"/>
        <w:right w:val="none" w:sz="0" w:space="0" w:color="auto"/>
      </w:divBdr>
    </w:div>
    <w:div w:id="872884038">
      <w:bodyDiv w:val="1"/>
      <w:marLeft w:val="0"/>
      <w:marRight w:val="0"/>
      <w:marTop w:val="0"/>
      <w:marBottom w:val="0"/>
      <w:divBdr>
        <w:top w:val="none" w:sz="0" w:space="0" w:color="auto"/>
        <w:left w:val="none" w:sz="0" w:space="0" w:color="auto"/>
        <w:bottom w:val="none" w:sz="0" w:space="0" w:color="auto"/>
        <w:right w:val="none" w:sz="0" w:space="0" w:color="auto"/>
      </w:divBdr>
    </w:div>
    <w:div w:id="891303929">
      <w:bodyDiv w:val="1"/>
      <w:marLeft w:val="0"/>
      <w:marRight w:val="0"/>
      <w:marTop w:val="0"/>
      <w:marBottom w:val="0"/>
      <w:divBdr>
        <w:top w:val="none" w:sz="0" w:space="0" w:color="auto"/>
        <w:left w:val="none" w:sz="0" w:space="0" w:color="auto"/>
        <w:bottom w:val="none" w:sz="0" w:space="0" w:color="auto"/>
        <w:right w:val="none" w:sz="0" w:space="0" w:color="auto"/>
      </w:divBdr>
    </w:div>
    <w:div w:id="895581512">
      <w:bodyDiv w:val="1"/>
      <w:marLeft w:val="0"/>
      <w:marRight w:val="0"/>
      <w:marTop w:val="0"/>
      <w:marBottom w:val="0"/>
      <w:divBdr>
        <w:top w:val="none" w:sz="0" w:space="0" w:color="auto"/>
        <w:left w:val="none" w:sz="0" w:space="0" w:color="auto"/>
        <w:bottom w:val="none" w:sz="0" w:space="0" w:color="auto"/>
        <w:right w:val="none" w:sz="0" w:space="0" w:color="auto"/>
      </w:divBdr>
    </w:div>
    <w:div w:id="898520810">
      <w:bodyDiv w:val="1"/>
      <w:marLeft w:val="0"/>
      <w:marRight w:val="0"/>
      <w:marTop w:val="0"/>
      <w:marBottom w:val="0"/>
      <w:divBdr>
        <w:top w:val="none" w:sz="0" w:space="0" w:color="auto"/>
        <w:left w:val="none" w:sz="0" w:space="0" w:color="auto"/>
        <w:bottom w:val="none" w:sz="0" w:space="0" w:color="auto"/>
        <w:right w:val="none" w:sz="0" w:space="0" w:color="auto"/>
      </w:divBdr>
    </w:div>
    <w:div w:id="916087252">
      <w:bodyDiv w:val="1"/>
      <w:marLeft w:val="0"/>
      <w:marRight w:val="0"/>
      <w:marTop w:val="0"/>
      <w:marBottom w:val="0"/>
      <w:divBdr>
        <w:top w:val="none" w:sz="0" w:space="0" w:color="auto"/>
        <w:left w:val="none" w:sz="0" w:space="0" w:color="auto"/>
        <w:bottom w:val="none" w:sz="0" w:space="0" w:color="auto"/>
        <w:right w:val="none" w:sz="0" w:space="0" w:color="auto"/>
      </w:divBdr>
    </w:div>
    <w:div w:id="916089803">
      <w:bodyDiv w:val="1"/>
      <w:marLeft w:val="0"/>
      <w:marRight w:val="0"/>
      <w:marTop w:val="0"/>
      <w:marBottom w:val="0"/>
      <w:divBdr>
        <w:top w:val="none" w:sz="0" w:space="0" w:color="auto"/>
        <w:left w:val="none" w:sz="0" w:space="0" w:color="auto"/>
        <w:bottom w:val="none" w:sz="0" w:space="0" w:color="auto"/>
        <w:right w:val="none" w:sz="0" w:space="0" w:color="auto"/>
      </w:divBdr>
    </w:div>
    <w:div w:id="919413875">
      <w:bodyDiv w:val="1"/>
      <w:marLeft w:val="0"/>
      <w:marRight w:val="0"/>
      <w:marTop w:val="0"/>
      <w:marBottom w:val="0"/>
      <w:divBdr>
        <w:top w:val="none" w:sz="0" w:space="0" w:color="auto"/>
        <w:left w:val="none" w:sz="0" w:space="0" w:color="auto"/>
        <w:bottom w:val="none" w:sz="0" w:space="0" w:color="auto"/>
        <w:right w:val="none" w:sz="0" w:space="0" w:color="auto"/>
      </w:divBdr>
    </w:div>
    <w:div w:id="923487648">
      <w:bodyDiv w:val="1"/>
      <w:marLeft w:val="0"/>
      <w:marRight w:val="0"/>
      <w:marTop w:val="0"/>
      <w:marBottom w:val="0"/>
      <w:divBdr>
        <w:top w:val="none" w:sz="0" w:space="0" w:color="auto"/>
        <w:left w:val="none" w:sz="0" w:space="0" w:color="auto"/>
        <w:bottom w:val="none" w:sz="0" w:space="0" w:color="auto"/>
        <w:right w:val="none" w:sz="0" w:space="0" w:color="auto"/>
      </w:divBdr>
    </w:div>
    <w:div w:id="937637516">
      <w:bodyDiv w:val="1"/>
      <w:marLeft w:val="0"/>
      <w:marRight w:val="0"/>
      <w:marTop w:val="0"/>
      <w:marBottom w:val="0"/>
      <w:divBdr>
        <w:top w:val="none" w:sz="0" w:space="0" w:color="auto"/>
        <w:left w:val="none" w:sz="0" w:space="0" w:color="auto"/>
        <w:bottom w:val="none" w:sz="0" w:space="0" w:color="auto"/>
        <w:right w:val="none" w:sz="0" w:space="0" w:color="auto"/>
      </w:divBdr>
    </w:div>
    <w:div w:id="967130220">
      <w:bodyDiv w:val="1"/>
      <w:marLeft w:val="0"/>
      <w:marRight w:val="0"/>
      <w:marTop w:val="0"/>
      <w:marBottom w:val="0"/>
      <w:divBdr>
        <w:top w:val="none" w:sz="0" w:space="0" w:color="auto"/>
        <w:left w:val="none" w:sz="0" w:space="0" w:color="auto"/>
        <w:bottom w:val="none" w:sz="0" w:space="0" w:color="auto"/>
        <w:right w:val="none" w:sz="0" w:space="0" w:color="auto"/>
      </w:divBdr>
    </w:div>
    <w:div w:id="969820023">
      <w:bodyDiv w:val="1"/>
      <w:marLeft w:val="0"/>
      <w:marRight w:val="0"/>
      <w:marTop w:val="0"/>
      <w:marBottom w:val="0"/>
      <w:divBdr>
        <w:top w:val="none" w:sz="0" w:space="0" w:color="auto"/>
        <w:left w:val="none" w:sz="0" w:space="0" w:color="auto"/>
        <w:bottom w:val="none" w:sz="0" w:space="0" w:color="auto"/>
        <w:right w:val="none" w:sz="0" w:space="0" w:color="auto"/>
      </w:divBdr>
    </w:div>
    <w:div w:id="1010335191">
      <w:bodyDiv w:val="1"/>
      <w:marLeft w:val="0"/>
      <w:marRight w:val="0"/>
      <w:marTop w:val="0"/>
      <w:marBottom w:val="0"/>
      <w:divBdr>
        <w:top w:val="none" w:sz="0" w:space="0" w:color="auto"/>
        <w:left w:val="none" w:sz="0" w:space="0" w:color="auto"/>
        <w:bottom w:val="none" w:sz="0" w:space="0" w:color="auto"/>
        <w:right w:val="none" w:sz="0" w:space="0" w:color="auto"/>
      </w:divBdr>
    </w:div>
    <w:div w:id="1052575621">
      <w:bodyDiv w:val="1"/>
      <w:marLeft w:val="0"/>
      <w:marRight w:val="0"/>
      <w:marTop w:val="0"/>
      <w:marBottom w:val="0"/>
      <w:divBdr>
        <w:top w:val="none" w:sz="0" w:space="0" w:color="auto"/>
        <w:left w:val="none" w:sz="0" w:space="0" w:color="auto"/>
        <w:bottom w:val="none" w:sz="0" w:space="0" w:color="auto"/>
        <w:right w:val="none" w:sz="0" w:space="0" w:color="auto"/>
      </w:divBdr>
    </w:div>
    <w:div w:id="1078478421">
      <w:bodyDiv w:val="1"/>
      <w:marLeft w:val="0"/>
      <w:marRight w:val="0"/>
      <w:marTop w:val="0"/>
      <w:marBottom w:val="0"/>
      <w:divBdr>
        <w:top w:val="none" w:sz="0" w:space="0" w:color="auto"/>
        <w:left w:val="none" w:sz="0" w:space="0" w:color="auto"/>
        <w:bottom w:val="none" w:sz="0" w:space="0" w:color="auto"/>
        <w:right w:val="none" w:sz="0" w:space="0" w:color="auto"/>
      </w:divBdr>
    </w:div>
    <w:div w:id="1108618841">
      <w:bodyDiv w:val="1"/>
      <w:marLeft w:val="0"/>
      <w:marRight w:val="0"/>
      <w:marTop w:val="0"/>
      <w:marBottom w:val="0"/>
      <w:divBdr>
        <w:top w:val="none" w:sz="0" w:space="0" w:color="auto"/>
        <w:left w:val="none" w:sz="0" w:space="0" w:color="auto"/>
        <w:bottom w:val="none" w:sz="0" w:space="0" w:color="auto"/>
        <w:right w:val="none" w:sz="0" w:space="0" w:color="auto"/>
      </w:divBdr>
    </w:div>
    <w:div w:id="1109813978">
      <w:bodyDiv w:val="1"/>
      <w:marLeft w:val="0"/>
      <w:marRight w:val="0"/>
      <w:marTop w:val="0"/>
      <w:marBottom w:val="0"/>
      <w:divBdr>
        <w:top w:val="none" w:sz="0" w:space="0" w:color="auto"/>
        <w:left w:val="none" w:sz="0" w:space="0" w:color="auto"/>
        <w:bottom w:val="none" w:sz="0" w:space="0" w:color="auto"/>
        <w:right w:val="none" w:sz="0" w:space="0" w:color="auto"/>
      </w:divBdr>
    </w:div>
    <w:div w:id="1142384845">
      <w:bodyDiv w:val="1"/>
      <w:marLeft w:val="0"/>
      <w:marRight w:val="0"/>
      <w:marTop w:val="0"/>
      <w:marBottom w:val="0"/>
      <w:divBdr>
        <w:top w:val="none" w:sz="0" w:space="0" w:color="auto"/>
        <w:left w:val="none" w:sz="0" w:space="0" w:color="auto"/>
        <w:bottom w:val="none" w:sz="0" w:space="0" w:color="auto"/>
        <w:right w:val="none" w:sz="0" w:space="0" w:color="auto"/>
      </w:divBdr>
    </w:div>
    <w:div w:id="1156452024">
      <w:bodyDiv w:val="1"/>
      <w:marLeft w:val="0"/>
      <w:marRight w:val="0"/>
      <w:marTop w:val="0"/>
      <w:marBottom w:val="0"/>
      <w:divBdr>
        <w:top w:val="none" w:sz="0" w:space="0" w:color="auto"/>
        <w:left w:val="none" w:sz="0" w:space="0" w:color="auto"/>
        <w:bottom w:val="none" w:sz="0" w:space="0" w:color="auto"/>
        <w:right w:val="none" w:sz="0" w:space="0" w:color="auto"/>
      </w:divBdr>
      <w:divsChild>
        <w:div w:id="1883247766">
          <w:marLeft w:val="810"/>
          <w:marRight w:val="810"/>
          <w:marTop w:val="360"/>
          <w:marBottom w:val="0"/>
          <w:divBdr>
            <w:top w:val="none" w:sz="0" w:space="0" w:color="auto"/>
            <w:left w:val="none" w:sz="0" w:space="0" w:color="auto"/>
            <w:bottom w:val="none" w:sz="0" w:space="0" w:color="auto"/>
            <w:right w:val="none" w:sz="0" w:space="0" w:color="auto"/>
          </w:divBdr>
          <w:divsChild>
            <w:div w:id="355162388">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1275863605">
      <w:bodyDiv w:val="1"/>
      <w:marLeft w:val="0"/>
      <w:marRight w:val="0"/>
      <w:marTop w:val="0"/>
      <w:marBottom w:val="0"/>
      <w:divBdr>
        <w:top w:val="none" w:sz="0" w:space="0" w:color="auto"/>
        <w:left w:val="none" w:sz="0" w:space="0" w:color="auto"/>
        <w:bottom w:val="none" w:sz="0" w:space="0" w:color="auto"/>
        <w:right w:val="none" w:sz="0" w:space="0" w:color="auto"/>
      </w:divBdr>
    </w:div>
    <w:div w:id="1311907597">
      <w:bodyDiv w:val="1"/>
      <w:marLeft w:val="0"/>
      <w:marRight w:val="0"/>
      <w:marTop w:val="0"/>
      <w:marBottom w:val="0"/>
      <w:divBdr>
        <w:top w:val="none" w:sz="0" w:space="0" w:color="auto"/>
        <w:left w:val="none" w:sz="0" w:space="0" w:color="auto"/>
        <w:bottom w:val="none" w:sz="0" w:space="0" w:color="auto"/>
        <w:right w:val="none" w:sz="0" w:space="0" w:color="auto"/>
      </w:divBdr>
    </w:div>
    <w:div w:id="1321692605">
      <w:bodyDiv w:val="1"/>
      <w:marLeft w:val="0"/>
      <w:marRight w:val="0"/>
      <w:marTop w:val="0"/>
      <w:marBottom w:val="0"/>
      <w:divBdr>
        <w:top w:val="none" w:sz="0" w:space="0" w:color="auto"/>
        <w:left w:val="none" w:sz="0" w:space="0" w:color="auto"/>
        <w:bottom w:val="none" w:sz="0" w:space="0" w:color="auto"/>
        <w:right w:val="none" w:sz="0" w:space="0" w:color="auto"/>
      </w:divBdr>
    </w:div>
    <w:div w:id="1326514792">
      <w:bodyDiv w:val="1"/>
      <w:marLeft w:val="0"/>
      <w:marRight w:val="0"/>
      <w:marTop w:val="0"/>
      <w:marBottom w:val="0"/>
      <w:divBdr>
        <w:top w:val="none" w:sz="0" w:space="0" w:color="auto"/>
        <w:left w:val="none" w:sz="0" w:space="0" w:color="auto"/>
        <w:bottom w:val="none" w:sz="0" w:space="0" w:color="auto"/>
        <w:right w:val="none" w:sz="0" w:space="0" w:color="auto"/>
      </w:divBdr>
    </w:div>
    <w:div w:id="1426921624">
      <w:bodyDiv w:val="1"/>
      <w:marLeft w:val="0"/>
      <w:marRight w:val="0"/>
      <w:marTop w:val="0"/>
      <w:marBottom w:val="0"/>
      <w:divBdr>
        <w:top w:val="none" w:sz="0" w:space="0" w:color="auto"/>
        <w:left w:val="none" w:sz="0" w:space="0" w:color="auto"/>
        <w:bottom w:val="none" w:sz="0" w:space="0" w:color="auto"/>
        <w:right w:val="none" w:sz="0" w:space="0" w:color="auto"/>
      </w:divBdr>
    </w:div>
    <w:div w:id="1436707249">
      <w:bodyDiv w:val="1"/>
      <w:marLeft w:val="0"/>
      <w:marRight w:val="0"/>
      <w:marTop w:val="0"/>
      <w:marBottom w:val="0"/>
      <w:divBdr>
        <w:top w:val="none" w:sz="0" w:space="0" w:color="auto"/>
        <w:left w:val="none" w:sz="0" w:space="0" w:color="auto"/>
        <w:bottom w:val="none" w:sz="0" w:space="0" w:color="auto"/>
        <w:right w:val="none" w:sz="0" w:space="0" w:color="auto"/>
      </w:divBdr>
    </w:div>
    <w:div w:id="1574319296">
      <w:bodyDiv w:val="1"/>
      <w:marLeft w:val="0"/>
      <w:marRight w:val="0"/>
      <w:marTop w:val="0"/>
      <w:marBottom w:val="0"/>
      <w:divBdr>
        <w:top w:val="none" w:sz="0" w:space="0" w:color="auto"/>
        <w:left w:val="none" w:sz="0" w:space="0" w:color="auto"/>
        <w:bottom w:val="none" w:sz="0" w:space="0" w:color="auto"/>
        <w:right w:val="none" w:sz="0" w:space="0" w:color="auto"/>
      </w:divBdr>
    </w:div>
    <w:div w:id="1590964501">
      <w:bodyDiv w:val="1"/>
      <w:marLeft w:val="0"/>
      <w:marRight w:val="0"/>
      <w:marTop w:val="0"/>
      <w:marBottom w:val="0"/>
      <w:divBdr>
        <w:top w:val="none" w:sz="0" w:space="0" w:color="auto"/>
        <w:left w:val="none" w:sz="0" w:space="0" w:color="auto"/>
        <w:bottom w:val="none" w:sz="0" w:space="0" w:color="auto"/>
        <w:right w:val="none" w:sz="0" w:space="0" w:color="auto"/>
      </w:divBdr>
    </w:div>
    <w:div w:id="1592617548">
      <w:bodyDiv w:val="1"/>
      <w:marLeft w:val="0"/>
      <w:marRight w:val="0"/>
      <w:marTop w:val="0"/>
      <w:marBottom w:val="0"/>
      <w:divBdr>
        <w:top w:val="none" w:sz="0" w:space="0" w:color="auto"/>
        <w:left w:val="none" w:sz="0" w:space="0" w:color="auto"/>
        <w:bottom w:val="none" w:sz="0" w:space="0" w:color="auto"/>
        <w:right w:val="none" w:sz="0" w:space="0" w:color="auto"/>
      </w:divBdr>
    </w:div>
    <w:div w:id="1628975409">
      <w:bodyDiv w:val="1"/>
      <w:marLeft w:val="0"/>
      <w:marRight w:val="0"/>
      <w:marTop w:val="0"/>
      <w:marBottom w:val="0"/>
      <w:divBdr>
        <w:top w:val="none" w:sz="0" w:space="0" w:color="auto"/>
        <w:left w:val="none" w:sz="0" w:space="0" w:color="auto"/>
        <w:bottom w:val="none" w:sz="0" w:space="0" w:color="auto"/>
        <w:right w:val="none" w:sz="0" w:space="0" w:color="auto"/>
      </w:divBdr>
      <w:divsChild>
        <w:div w:id="571353209">
          <w:marLeft w:val="1080"/>
          <w:marRight w:val="0"/>
          <w:marTop w:val="100"/>
          <w:marBottom w:val="0"/>
          <w:divBdr>
            <w:top w:val="none" w:sz="0" w:space="0" w:color="auto"/>
            <w:left w:val="none" w:sz="0" w:space="0" w:color="auto"/>
            <w:bottom w:val="none" w:sz="0" w:space="0" w:color="auto"/>
            <w:right w:val="none" w:sz="0" w:space="0" w:color="auto"/>
          </w:divBdr>
        </w:div>
        <w:div w:id="2145003159">
          <w:marLeft w:val="1800"/>
          <w:marRight w:val="0"/>
          <w:marTop w:val="100"/>
          <w:marBottom w:val="0"/>
          <w:divBdr>
            <w:top w:val="none" w:sz="0" w:space="0" w:color="auto"/>
            <w:left w:val="none" w:sz="0" w:space="0" w:color="auto"/>
            <w:bottom w:val="none" w:sz="0" w:space="0" w:color="auto"/>
            <w:right w:val="none" w:sz="0" w:space="0" w:color="auto"/>
          </w:divBdr>
        </w:div>
        <w:div w:id="63528996">
          <w:marLeft w:val="1800"/>
          <w:marRight w:val="0"/>
          <w:marTop w:val="100"/>
          <w:marBottom w:val="0"/>
          <w:divBdr>
            <w:top w:val="none" w:sz="0" w:space="0" w:color="auto"/>
            <w:left w:val="none" w:sz="0" w:space="0" w:color="auto"/>
            <w:bottom w:val="none" w:sz="0" w:space="0" w:color="auto"/>
            <w:right w:val="none" w:sz="0" w:space="0" w:color="auto"/>
          </w:divBdr>
        </w:div>
      </w:divsChild>
    </w:div>
    <w:div w:id="1649437588">
      <w:bodyDiv w:val="1"/>
      <w:marLeft w:val="0"/>
      <w:marRight w:val="0"/>
      <w:marTop w:val="0"/>
      <w:marBottom w:val="0"/>
      <w:divBdr>
        <w:top w:val="none" w:sz="0" w:space="0" w:color="auto"/>
        <w:left w:val="none" w:sz="0" w:space="0" w:color="auto"/>
        <w:bottom w:val="none" w:sz="0" w:space="0" w:color="auto"/>
        <w:right w:val="none" w:sz="0" w:space="0" w:color="auto"/>
      </w:divBdr>
    </w:div>
    <w:div w:id="1651446362">
      <w:bodyDiv w:val="1"/>
      <w:marLeft w:val="0"/>
      <w:marRight w:val="0"/>
      <w:marTop w:val="0"/>
      <w:marBottom w:val="0"/>
      <w:divBdr>
        <w:top w:val="none" w:sz="0" w:space="0" w:color="auto"/>
        <w:left w:val="none" w:sz="0" w:space="0" w:color="auto"/>
        <w:bottom w:val="none" w:sz="0" w:space="0" w:color="auto"/>
        <w:right w:val="none" w:sz="0" w:space="0" w:color="auto"/>
      </w:divBdr>
    </w:div>
    <w:div w:id="1668168153">
      <w:bodyDiv w:val="1"/>
      <w:marLeft w:val="0"/>
      <w:marRight w:val="0"/>
      <w:marTop w:val="0"/>
      <w:marBottom w:val="0"/>
      <w:divBdr>
        <w:top w:val="none" w:sz="0" w:space="0" w:color="auto"/>
        <w:left w:val="none" w:sz="0" w:space="0" w:color="auto"/>
        <w:bottom w:val="none" w:sz="0" w:space="0" w:color="auto"/>
        <w:right w:val="none" w:sz="0" w:space="0" w:color="auto"/>
      </w:divBdr>
    </w:div>
    <w:div w:id="1794715933">
      <w:bodyDiv w:val="1"/>
      <w:marLeft w:val="0"/>
      <w:marRight w:val="0"/>
      <w:marTop w:val="0"/>
      <w:marBottom w:val="0"/>
      <w:divBdr>
        <w:top w:val="none" w:sz="0" w:space="0" w:color="auto"/>
        <w:left w:val="none" w:sz="0" w:space="0" w:color="auto"/>
        <w:bottom w:val="none" w:sz="0" w:space="0" w:color="auto"/>
        <w:right w:val="none" w:sz="0" w:space="0" w:color="auto"/>
      </w:divBdr>
    </w:div>
    <w:div w:id="1809857087">
      <w:bodyDiv w:val="1"/>
      <w:marLeft w:val="0"/>
      <w:marRight w:val="0"/>
      <w:marTop w:val="0"/>
      <w:marBottom w:val="0"/>
      <w:divBdr>
        <w:top w:val="none" w:sz="0" w:space="0" w:color="auto"/>
        <w:left w:val="none" w:sz="0" w:space="0" w:color="auto"/>
        <w:bottom w:val="none" w:sz="0" w:space="0" w:color="auto"/>
        <w:right w:val="none" w:sz="0" w:space="0" w:color="auto"/>
      </w:divBdr>
    </w:div>
    <w:div w:id="1811897354">
      <w:bodyDiv w:val="1"/>
      <w:marLeft w:val="0"/>
      <w:marRight w:val="0"/>
      <w:marTop w:val="0"/>
      <w:marBottom w:val="0"/>
      <w:divBdr>
        <w:top w:val="none" w:sz="0" w:space="0" w:color="auto"/>
        <w:left w:val="none" w:sz="0" w:space="0" w:color="auto"/>
        <w:bottom w:val="none" w:sz="0" w:space="0" w:color="auto"/>
        <w:right w:val="none" w:sz="0" w:space="0" w:color="auto"/>
      </w:divBdr>
    </w:div>
    <w:div w:id="1842037928">
      <w:bodyDiv w:val="1"/>
      <w:marLeft w:val="0"/>
      <w:marRight w:val="0"/>
      <w:marTop w:val="0"/>
      <w:marBottom w:val="0"/>
      <w:divBdr>
        <w:top w:val="none" w:sz="0" w:space="0" w:color="auto"/>
        <w:left w:val="none" w:sz="0" w:space="0" w:color="auto"/>
        <w:bottom w:val="none" w:sz="0" w:space="0" w:color="auto"/>
        <w:right w:val="none" w:sz="0" w:space="0" w:color="auto"/>
      </w:divBdr>
    </w:div>
    <w:div w:id="1862433147">
      <w:bodyDiv w:val="1"/>
      <w:marLeft w:val="0"/>
      <w:marRight w:val="0"/>
      <w:marTop w:val="0"/>
      <w:marBottom w:val="0"/>
      <w:divBdr>
        <w:top w:val="none" w:sz="0" w:space="0" w:color="auto"/>
        <w:left w:val="none" w:sz="0" w:space="0" w:color="auto"/>
        <w:bottom w:val="none" w:sz="0" w:space="0" w:color="auto"/>
        <w:right w:val="none" w:sz="0" w:space="0" w:color="auto"/>
      </w:divBdr>
    </w:div>
    <w:div w:id="1966038597">
      <w:bodyDiv w:val="1"/>
      <w:marLeft w:val="0"/>
      <w:marRight w:val="0"/>
      <w:marTop w:val="0"/>
      <w:marBottom w:val="0"/>
      <w:divBdr>
        <w:top w:val="none" w:sz="0" w:space="0" w:color="auto"/>
        <w:left w:val="none" w:sz="0" w:space="0" w:color="auto"/>
        <w:bottom w:val="none" w:sz="0" w:space="0" w:color="auto"/>
        <w:right w:val="none" w:sz="0" w:space="0" w:color="auto"/>
      </w:divBdr>
    </w:div>
    <w:div w:id="2143494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42" Type="http://schemas.microsoft.com/office/2011/relationships/people" Target="peop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43"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986CE-FFDB-4A02-8006-DA8A0C1C91E8}">
  <ds:schemaRefs/>
</ds:datastoreItem>
</file>

<file path=customXml/itemProps2.xml><?xml version="1.0" encoding="utf-8"?>
<ds:datastoreItem xmlns:ds="http://schemas.openxmlformats.org/officeDocument/2006/customXml" ds:itemID="{F17EEF24-C2FB-4DE8-96D7-34EA8151373C}">
  <ds:schemaRefs/>
</ds:datastoreItem>
</file>

<file path=customXml/itemProps3.xml><?xml version="1.0" encoding="utf-8"?>
<ds:datastoreItem xmlns:ds="http://schemas.openxmlformats.org/officeDocument/2006/customXml" ds:itemID="{FA1F24D0-9D35-430B-B64C-1F9C81174B5D}">
  <ds:schemaRefs>
    <ds:schemaRef ds:uri="http://schemas.openxmlformats.org/officeDocument/2006/bibliography"/>
  </ds:schemaRefs>
</ds:datastoreItem>
</file>

<file path=customXml/itemProps4.xml><?xml version="1.0" encoding="utf-8"?>
<ds:datastoreItem xmlns:ds="http://schemas.openxmlformats.org/officeDocument/2006/customXml" ds:itemID="{3BB31156-48D7-4466-BD8D-9567BDA97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5379</Words>
  <Characters>30663</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2017-06-28T14:47:00Z</dcterms:created>
  <dcterms:modified xsi:type="dcterms:W3CDTF">2017-06-28T14:58:00Z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Red</vt:lpwstr>
  </property>
  <property fmtid="{D5CDD505-2E9C-101B-9397-08002B2CF9AE}" pid="3" name="_NewReviewCycle">
    <vt:lpwstr/>
  </property>
  <property fmtid="{D5CDD505-2E9C-101B-9397-08002B2CF9AE}" pid="4" name="_AdHocReviewCycleID">
    <vt:i4>-1472186570</vt:i4>
  </property>
  <property fmtid="{D5CDD505-2E9C-101B-9397-08002B2CF9AE}" pid="5" name="_ReviewingToolsShownOnce">
    <vt:lpwstr/>
  </property>
</Properties>
</file>